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69"/>
        <w:gridCol w:w="84"/>
        <w:gridCol w:w="8719"/>
      </w:tblGrid>
      <w:tr>
        <w:trPr/>
        <w:tc>
          <w:tcPr>
            <w:tcW w:w="1169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/>
            </w:pPr>
            <w:r>
              <w:rPr/>
              <w:drawing>
                <wp:inline distT="0" distB="0" distL="0" distR="0">
                  <wp:extent cx="664210" cy="741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6" t="-479" r="-526" b="-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</w:r>
          </w:p>
        </w:tc>
        <w:tc>
          <w:tcPr>
            <w:tcW w:w="8719" w:type="dxa"/>
            <w:tcBorders/>
            <w:shd w:fill="auto" w:val="clear"/>
          </w:tcPr>
          <w:p>
            <w:pPr>
              <w:pStyle w:val="Heading1"/>
              <w:keepNext w:val="true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</w:r>
          </w:p>
          <w:p>
            <w:pPr>
              <w:pStyle w:val="Heading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Ahsanullah University of Science and Technology</w:t>
            </w:r>
          </w:p>
          <w:p>
            <w:pPr>
              <w:pStyle w:val="Heading1"/>
              <w:widowControl w:val="false"/>
              <w:numPr>
                <w:ilvl w:val="0"/>
                <w:numId w:val="3"/>
              </w:numPr>
              <w:bidi w:val="0"/>
              <w:ind w:left="0" w:right="0" w:hanging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rFonts w:ascii="Arial Black" w:hAnsi="Arial Black"/>
                <w:color w:val="000000"/>
                <w:sz w:val="28"/>
                <w:szCs w:val="28"/>
              </w:rPr>
              <w:t>Bangladesh</w:t>
            </w:r>
          </w:p>
        </w:tc>
      </w:tr>
    </w:tbl>
    <w:p>
      <w:pPr>
        <w:pStyle w:val="Heading1"/>
        <w:keepNext w:val="true"/>
        <w:widowControl/>
        <w:numPr>
          <w:ilvl w:val="0"/>
          <w:numId w:val="3"/>
        </w:numPr>
        <w:bidi w:val="0"/>
        <w:ind w:left="0" w:right="0" w:hanging="0"/>
        <w:jc w:val="both"/>
        <w:outlineLvl w:val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</w:r>
    </w:p>
    <w:p>
      <w:pPr>
        <w:pStyle w:val="Heading1"/>
        <w:keepNext w:val="true"/>
        <w:widowControl/>
        <w:numPr>
          <w:ilvl w:val="0"/>
          <w:numId w:val="3"/>
        </w:numPr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ascii="Arial" w:hAnsi="Arial"/>
          <w:color w:val="000000"/>
          <w:sz w:val="40"/>
          <w:szCs w:val="40"/>
          <w:lang w:val="en-GB"/>
        </w:rPr>
        <w:t>COURSE REPORT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ascii="Arial" w:hAnsi="Arial"/>
          <w:color w:val="FF0000"/>
          <w:sz w:val="24"/>
          <w:szCs w:val="24"/>
          <w:highlight w:val="yellow"/>
          <w:lang w:val="en-GB"/>
        </w:rPr>
        <w:t>(Should be Submitted to the OBE Course Coordinator at the End of the Semester)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Heading1"/>
        <w:numPr>
          <w:ilvl w:val="0"/>
          <w:numId w:val="3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jc w:val="center"/>
        <w:rPr/>
      </w:pPr>
      <w:r>
        <w:rPr/>
        <w:t>1. General Information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1.1 Course Title: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1.2 Course Code &amp; Section</w:t>
      </w:r>
      <w:r>
        <w:rPr>
          <w:rFonts w:ascii="Arial" w:hAnsi="Arial"/>
          <w:color w:val="0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 xml:space="preserve">1.3 Name of the Course Instructor </w:t>
      </w:r>
      <w:r>
        <w:rPr>
          <w:rFonts w:ascii="Arial" w:hAnsi="Arial"/>
          <w:color w:val="0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1.4 Semester Offered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color w:val="800000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i/>
          <w:i/>
          <w:iCs/>
          <w:color w:val="000000"/>
          <w:szCs w:val="28"/>
          <w:lang w:val="en-GB"/>
        </w:rPr>
      </w:pPr>
      <w:r>
        <w:rPr>
          <w:rFonts w:ascii="Arial" w:hAnsi="Arial"/>
          <w:i/>
          <w:i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 xml:space="preserve">1.5 Date of Submission </w:t>
      </w:r>
      <w:r>
        <w:rPr>
          <w:rFonts w:ascii="Arial" w:hAnsi="Arial"/>
          <w:b/>
          <w:bCs/>
          <w:color w:val="8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2. Learning Outcomes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  <w:t>2.1. Analysis of existing COs, POs, and Bloom’s Taxonomy levels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10445" w:type="dxa"/>
        <w:jc w:val="left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624"/>
        <w:gridCol w:w="2798"/>
        <w:gridCol w:w="627"/>
        <w:gridCol w:w="545"/>
        <w:gridCol w:w="450"/>
        <w:gridCol w:w="453"/>
        <w:gridCol w:w="1"/>
        <w:gridCol w:w="3149"/>
        <w:gridCol w:w="533"/>
        <w:gridCol w:w="451"/>
        <w:gridCol w:w="449"/>
        <w:gridCol w:w="363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7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0" w:right="0" w:hanging="0"/>
              <w:jc w:val="center"/>
              <w:outlineLvl w:val="0"/>
              <w:rPr/>
            </w:pPr>
            <w:r>
              <w:rPr>
                <w:rFonts w:ascii="Arial" w:hAnsi="Arial"/>
                <w:color w:val="000000"/>
                <w:szCs w:val="28"/>
                <w:lang w:val="en-GB"/>
              </w:rPr>
              <w:t>Existing</w:t>
            </w:r>
          </w:p>
        </w:tc>
        <w:tc>
          <w:tcPr>
            <w:tcW w:w="49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 xml:space="preserve">Modification </w:t>
            </w:r>
            <w:r>
              <w:rPr>
                <w:rFonts w:ascii="Arial" w:hAnsi="Arial"/>
              </w:rPr>
              <w:t>(if needed for constructive alignment)</w:t>
            </w:r>
          </w:p>
        </w:tc>
      </w:tr>
      <w:tr>
        <w:trPr/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CO No.</w:t>
            </w:r>
          </w:p>
        </w:tc>
        <w:tc>
          <w:tcPr>
            <w:tcW w:w="27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0" w:right="0" w:hanging="0"/>
              <w:jc w:val="center"/>
              <w:outlineLvl w:val="0"/>
              <w:rPr/>
            </w:pPr>
            <w:r>
              <w:rPr>
                <w:rFonts w:ascii="Arial" w:hAnsi="Arial"/>
                <w:color w:val="000000"/>
                <w:szCs w:val="28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Cs w:val="28"/>
                <w:lang w:val="en-GB"/>
              </w:rPr>
              <w:t>CO statement</w:t>
            </w:r>
          </w:p>
        </w:tc>
        <w:tc>
          <w:tcPr>
            <w:tcW w:w="6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PO</w:t>
            </w:r>
          </w:p>
        </w:tc>
        <w:tc>
          <w:tcPr>
            <w:tcW w:w="14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Bloom’s Taxonomy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  <w:color w:val="000000"/>
                <w:szCs w:val="28"/>
                <w:lang w:val="en-GB"/>
              </w:rPr>
              <w:t>CO statement</w:t>
            </w:r>
          </w:p>
        </w:tc>
        <w:tc>
          <w:tcPr>
            <w:tcW w:w="5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PO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Bloom’s Taxonomy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31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3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6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P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2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2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2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2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2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31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3. Teaching &amp; Learning Activities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3.1. Analysis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 of Contact Hours for Different Topics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409"/>
        <w:gridCol w:w="3912"/>
        <w:gridCol w:w="1172"/>
        <w:gridCol w:w="1160"/>
        <w:gridCol w:w="1174"/>
        <w:gridCol w:w="2144"/>
      </w:tblGrid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Sl. No.</w:t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Topics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Planned Contact Hours</w:t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Contact Hours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Variation</w:t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(%)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rFonts w:ascii="Arial" w:hAnsi="Arial"/>
              </w:rPr>
              <w:t>Reason for Variations above 25%</w:t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i/>
                <w:i/>
                <w:iCs/>
                <w:color w:val="0000FF"/>
              </w:rPr>
            </w:pPr>
            <w:r>
              <w:rPr>
                <w:rFonts w:ascii="Arial" w:hAnsi="Arial"/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i/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i/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i/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i/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</w:tr>
      <w:tr>
        <w:trPr/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  <w:t>Total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1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E181E"/>
                <w:lang w:val="en-GB"/>
              </w:rPr>
            </w:pPr>
            <w:r>
              <w:rPr>
                <w:rFonts w:ascii="Arial" w:hAnsi="Arial"/>
                <w:b/>
                <w:bCs/>
                <w:i/>
                <w:iCs/>
                <w:color w:val="CE181E"/>
                <w:lang w:val="en-GB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000000"/>
          <w:szCs w:val="28"/>
          <w:lang w:val="en-GB"/>
        </w:rPr>
      </w:pPr>
      <w:r>
        <w:rPr>
          <w:rFonts w:ascii="Arial" w:hAnsi="Arial"/>
          <w:b w:val="false"/>
          <w:bCs w:val="false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3.2. Analysis of Teaching &amp; Learning Activities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227"/>
        <w:gridCol w:w="723"/>
        <w:gridCol w:w="627"/>
        <w:gridCol w:w="4394"/>
      </w:tblGrid>
      <w:tr>
        <w:trPr/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Teaching &amp; Learning Activity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Was it effective?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Difficulties (if any) with the activity and suggestions for improvementsthat</w:t>
            </w:r>
          </w:p>
        </w:tc>
      </w:tr>
      <w:tr>
        <w:trPr/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Yes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3.3. Analysis of the Resources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227"/>
        <w:gridCol w:w="723"/>
        <w:gridCol w:w="627"/>
        <w:gridCol w:w="4394"/>
      </w:tblGrid>
      <w:tr>
        <w:trPr/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Items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Acceptable?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Remarks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(if any)</w:t>
            </w:r>
          </w:p>
        </w:tc>
      </w:tr>
      <w:tr>
        <w:trPr/>
        <w:tc>
          <w:tcPr>
            <w:tcW w:w="4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Yes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White Board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Multimedia Projector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Internet connection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Cleanliness of the classroom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i/>
                <w:i/>
                <w:iCs/>
                <w:color w:val="0000FF"/>
              </w:rPr>
            </w:pPr>
            <w:r>
              <w:rPr>
                <w:rFonts w:eastAsia="Arial" w:cs="Arial" w:ascii="Arial" w:hAnsi="Arial"/>
                <w:i/>
                <w:iCs/>
                <w:color w:val="0000FF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Air-conditioning system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4. Direct Assessments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4.1. Grade Distributions from IUMS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27"/>
        <w:gridCol w:w="723"/>
        <w:gridCol w:w="725"/>
        <w:gridCol w:w="722"/>
        <w:gridCol w:w="710"/>
        <w:gridCol w:w="722"/>
        <w:gridCol w:w="723"/>
        <w:gridCol w:w="802"/>
        <w:gridCol w:w="820"/>
        <w:gridCol w:w="806"/>
        <w:gridCol w:w="790"/>
      </w:tblGrid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Grade</w:t>
            </w:r>
          </w:p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A+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C+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</w:t>
            </w:r>
          </w:p>
        </w:tc>
      </w:tr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No. of Students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2" w:hRule="atLeast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% of students based on Grade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4.2. Analysis of Course Outcomes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Targe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t Key Performance Indicator (KPI): </w:t>
      </w:r>
      <w:bookmarkStart w:id="0" w:name="__DdeLink__5255_1302825736"/>
      <w:r>
        <w:rPr>
          <w:rFonts w:eastAsia="Noto Sans CJK SC Regular" w:cs="Lohit Devanagari" w:ascii="Arial" w:hAnsi="Arial"/>
          <w:b/>
          <w:bCs/>
          <w:i/>
          <w:iCs/>
          <w:color w:val="0000FF"/>
          <w:kern w:val="2"/>
          <w:sz w:val="24"/>
          <w:szCs w:val="28"/>
          <w:highlight w:val="yellow"/>
          <w:lang w:val="en-GB" w:eastAsia="zh-CN" w:bidi="hi-IN"/>
        </w:rPr>
        <w:t>50</w:t>
      </w:r>
      <w:bookmarkEnd w:id="0"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ascii="Arial" w:hAnsi="Arial"/>
          <w:b/>
          <w:bCs/>
          <w:i/>
          <w:iCs/>
          <w:color w:val="CE181E"/>
          <w:szCs w:val="28"/>
          <w:lang w:val="en-GB"/>
        </w:rPr>
        <w:t>Comments about the KPI attainments for COs</w:t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>4.3. Analysis of Program Outcomes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Targe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 xml:space="preserve">t Key Performance Indicator (KPI): </w:t>
      </w:r>
      <w:r>
        <w:rPr>
          <w:rFonts w:eastAsia="Noto Sans CJK SC Regular" w:cs="Lohit Devanagari" w:ascii="Arial" w:hAnsi="Arial"/>
          <w:b/>
          <w:bCs/>
          <w:i/>
          <w:iCs/>
          <w:color w:val="0000FF"/>
          <w:kern w:val="2"/>
          <w:sz w:val="24"/>
          <w:szCs w:val="28"/>
          <w:highlight w:val="yellow"/>
          <w:lang w:val="en-GB" w:eastAsia="zh-CN" w:bidi="hi-IN"/>
        </w:rPr>
        <w:t>50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ascii="Arial" w:hAnsi="Arial"/>
          <w:b/>
          <w:bCs/>
          <w:i/>
          <w:iCs/>
          <w:color w:val="CE181E"/>
          <w:szCs w:val="28"/>
          <w:lang w:val="en-GB"/>
        </w:rPr>
        <w:t>Comments about the KPI attainments for POs</w:t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5. Indirect Assessments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5.1. Analysis of Student Feedback (if any)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i/>
          <w:i/>
          <w:iCs/>
          <w:color w:val="CE181E"/>
          <w:szCs w:val="28"/>
          <w:lang w:val="en-GB"/>
        </w:rPr>
      </w:pPr>
      <w:r>
        <w:rPr>
          <w:rFonts w:ascii="Arial" w:hAnsi="Arial"/>
          <w:b/>
          <w:bCs/>
          <w:i/>
          <w:iCs/>
          <w:color w:val="CE181E"/>
          <w:szCs w:val="28"/>
          <w:lang w:val="en-GB"/>
        </w:rPr>
        <w:t>Comments about the student feedback</w:t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5.2. Analysis of surveys/meeting minutes/reports related to the course (if any)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i/>
          <w:iCs/>
          <w:color w:val="CE181E"/>
          <w:szCs w:val="28"/>
          <w:lang w:val="en-GB"/>
        </w:rPr>
        <w:t>Comments about the surveys/meeting minutes/reports</w:t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6. Continuous Quality Improvement (CQI) Loops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6.1. Suggested Action Plans to Improve the Course in the Future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10445" w:type="dxa"/>
        <w:jc w:val="left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2209"/>
        <w:gridCol w:w="2210"/>
        <w:gridCol w:w="6026"/>
      </w:tblGrid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Loop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Assessment Type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bookmarkStart w:id="1" w:name="__DdeLink__1036_3494721286"/>
            <w:r>
              <w:rPr/>
              <w:t>Recommended Actions</w:t>
            </w:r>
            <w:bookmarkEnd w:id="1"/>
            <w:r>
              <w:rPr/>
              <w:t xml:space="preserve"> for Quality Improvement</w:t>
            </w:r>
          </w:p>
        </w:tc>
      </w:tr>
      <w:tr>
        <w:trPr/>
        <w:tc>
          <w:tcPr>
            <w:tcW w:w="22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A. CQI Loop for COs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Direct Measurement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0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Indirect Measurement from Surveys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  <w:t>(if any)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B. CQI Loop for POs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Direct Measurement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0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Indirect Measurement from Surveys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  <w:t>(if any)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C. CQI Loop for PEOs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Indirect Measurement from Surveys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  <w:t>(if any)</w:t>
            </w:r>
          </w:p>
        </w:tc>
        <w:tc>
          <w:tcPr>
            <w:tcW w:w="6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TableContents"/>
        <w:jc w:val="left"/>
        <w:rPr/>
      </w:pPr>
      <w:r>
        <w:rPr>
          <w:rFonts w:ascii="Arial" w:hAnsi="Arial"/>
        </w:rPr>
        <w:t xml:space="preserve">Signature of the Instructor: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/>
      </w:pPr>
      <w:r>
        <w:rPr>
          <w:rFonts w:ascii="Arial" w:hAnsi="Arial"/>
        </w:rPr>
        <w:t>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/>
      </w:pPr>
      <w:r>
        <w:rPr>
          <w:rFonts w:ascii="Arial" w:hAnsi="Arial"/>
        </w:rPr>
        <w:t xml:space="preserve">Name of the Instructor: </w:t>
      </w:r>
    </w:p>
    <w:p>
      <w:pPr>
        <w:pStyle w:val="TableContents"/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thinThickMediumGap" w:sz="2" w:space="1" w:color="000001"/>
          <w:left w:val="thinThickMediumGap" w:sz="2" w:space="1" w:color="000001"/>
          <w:bottom w:val="thinThickMediumGap" w:sz="2" w:space="1" w:color="000001"/>
          <w:right w:val="thinThickMediumGap" w:sz="2" w:space="1" w:color="000001"/>
        </w:pBdr>
        <w:shd w:val="clear" w:fill="DDDDDD"/>
        <w:suppressAutoHyphens w:val="true"/>
        <w:bidi w:val="0"/>
        <w:snapToGrid w:val="false"/>
        <w:ind w:left="0" w:right="0" w:hanging="0"/>
        <w:jc w:val="center"/>
        <w:outlineLvl w:val="0"/>
        <w:rPr/>
      </w:pPr>
      <w:r>
        <w:rPr>
          <w:rFonts w:eastAsia="Noto Sans CJK SC Regular" w:cs="Lohit Devanagari"/>
          <w:b/>
          <w:bCs/>
          <w:color w:val="00000A"/>
          <w:kern w:val="2"/>
          <w:sz w:val="28"/>
          <w:szCs w:val="20"/>
          <w:lang w:val="en-US" w:eastAsia="zh-CN" w:bidi="hi-IN"/>
        </w:rPr>
        <w:t>7.  Approval from the Head of the Department (HOD)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Heading1"/>
        <w:numPr>
          <w:ilvl w:val="0"/>
          <w:numId w:val="2"/>
        </w:numPr>
        <w:jc w:val="left"/>
        <w:rPr/>
      </w:pPr>
      <w:r>
        <w:rPr/>
        <w:t>7.1. Comments from the Head of the Department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TableContents"/>
        <w:jc w:val="left"/>
        <w:rPr/>
      </w:pPr>
      <w:r>
        <w:rPr>
          <w:rFonts w:ascii="Arial" w:hAnsi="Arial"/>
        </w:rPr>
        <w:t>Signature of the HOD: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/>
      </w:pPr>
      <w:r>
        <w:rPr>
          <w:rFonts w:ascii="Arial" w:hAnsi="Arial"/>
        </w:rPr>
        <w:t xml:space="preserve">Name of the HOD: </w:t>
      </w:r>
    </w:p>
    <w:p>
      <w:pPr>
        <w:pStyle w:val="TableContents"/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  <w:szCs w:val="28"/>
          <w:lang w:val="en-GB"/>
        </w:rPr>
        <w:t>Date:</w:t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color w:val="800000"/>
          <w:szCs w:val="28"/>
          <w:lang w:val="en-GB"/>
        </w:rPr>
      </w:pPr>
      <w:r>
        <w:rPr>
          <w:rFonts w:ascii="Arial" w:hAnsi="Arial"/>
          <w:b/>
          <w:bCs/>
          <w:color w:val="800000"/>
          <w:szCs w:val="28"/>
          <w:lang w:val="en-GB"/>
        </w:rPr>
      </w:r>
    </w:p>
    <w:p>
      <w:pPr>
        <w:pStyle w:val="TableContents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color w:val="8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LibreOffice/7.1.5.2$Linux_X86_64 LibreOffice_project/10$Build-2</Application>
  <AppVersion>15.0000</AppVersion>
  <Pages>6</Pages>
  <Words>360</Words>
  <Characters>1969</Characters>
  <CharactersWithSpaces>2245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2018-12-13T13:54:52Z</dcterms:created>
  <dc:creator/>
  <dc:description/>
  <dc:language>en-US</dc:language>
  <cp:lastModifiedBy/>
  <dcterms:modified xsi:type="dcterms:W3CDTF">2021-08-27T12:52:46Z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