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2" w:type="dxa"/>
        <w:jc w:val="left"/>
        <w:tblInd w:w="-55" w:type="dxa"/>
        <w:tblBorders/>
        <w:tblCellMar>
          <w:top w:w="55" w:type="dxa"/>
          <w:left w:w="55" w:type="dxa"/>
          <w:bottom w:w="55" w:type="dxa"/>
          <w:right w:w="55" w:type="dxa"/>
        </w:tblCellMar>
      </w:tblPr>
      <w:tblGrid>
        <w:gridCol w:w="1171"/>
        <w:gridCol w:w="117"/>
        <w:gridCol w:w="8684"/>
      </w:tblGrid>
      <w:tr>
        <w:trPr/>
        <w:tc>
          <w:tcPr>
            <w:tcW w:w="1171" w:type="dxa"/>
            <w:tcBorders/>
            <w:shd w:fill="auto" w:val="clear"/>
          </w:tcPr>
          <w:p>
            <w:pPr>
              <w:pStyle w:val="TableContents"/>
              <w:jc w:val="both"/>
              <w:rPr/>
            </w:pPr>
            <w:r>
              <w:rPr/>
              <w:drawing>
                <wp:inline distT="0" distB="0" distL="0" distR="0">
                  <wp:extent cx="664210" cy="741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26" t="-479" r="-526" b="-479"/>
                          <a:stretch>
                            <a:fillRect/>
                          </a:stretch>
                        </pic:blipFill>
                        <pic:spPr bwMode="auto">
                          <a:xfrm>
                            <a:off x="0" y="0"/>
                            <a:ext cx="664210" cy="741045"/>
                          </a:xfrm>
                          <a:prstGeom prst="rect">
                            <a:avLst/>
                          </a:prstGeom>
                        </pic:spPr>
                      </pic:pic>
                    </a:graphicData>
                  </a:graphic>
                </wp:inline>
              </w:drawing>
            </w:r>
          </w:p>
        </w:tc>
        <w:tc>
          <w:tcPr>
            <w:tcW w:w="117" w:type="dxa"/>
            <w:tcBorders/>
            <w:shd w:fill="auto" w:val="clear"/>
          </w:tcPr>
          <w:p>
            <w:pPr>
              <w:pStyle w:val="TableContents"/>
              <w:jc w:val="both"/>
              <w:rPr>
                <w:rFonts w:ascii="Arial" w:hAnsi="Arial"/>
                <w:sz w:val="28"/>
                <w:szCs w:val="20"/>
              </w:rPr>
            </w:pPr>
            <w:r>
              <w:rPr>
                <w:rFonts w:ascii="Arial" w:hAnsi="Arial"/>
                <w:sz w:val="28"/>
                <w:szCs w:val="20"/>
              </w:rPr>
            </w:r>
          </w:p>
        </w:tc>
        <w:tc>
          <w:tcPr>
            <w:tcW w:w="8684" w:type="dxa"/>
            <w:tcBorders/>
            <w:shd w:fill="auto" w:val="clear"/>
          </w:tcPr>
          <w:p>
            <w:pPr>
              <w:pStyle w:val="Heading1"/>
              <w:numPr>
                <w:ilvl w:val="0"/>
                <w:numId w:val="3"/>
              </w:numPr>
              <w:jc w:val="center"/>
              <w:rPr>
                <w:rFonts w:ascii="Arial" w:hAnsi="Arial"/>
                <w:color w:val="000000"/>
                <w:szCs w:val="28"/>
              </w:rPr>
            </w:pPr>
            <w:r>
              <w:rPr>
                <w:rFonts w:ascii="Arial" w:hAnsi="Arial"/>
                <w:color w:val="000000"/>
                <w:szCs w:val="28"/>
              </w:rPr>
            </w:r>
          </w:p>
          <w:p>
            <w:pPr>
              <w:pStyle w:val="Heading1"/>
              <w:numPr>
                <w:ilvl w:val="0"/>
                <w:numId w:val="3"/>
              </w:numPr>
              <w:jc w:val="center"/>
              <w:rPr>
                <w:rFonts w:ascii="Arial" w:hAnsi="Arial"/>
                <w:color w:val="000000"/>
                <w:szCs w:val="28"/>
              </w:rPr>
            </w:pPr>
            <w:r>
              <w:rPr>
                <w:rFonts w:ascii="Arial" w:hAnsi="Arial"/>
                <w:color w:val="000000"/>
                <w:szCs w:val="28"/>
              </w:rPr>
              <w:t>Ahsanullah University of Science and Technology (AUST)</w:t>
            </w:r>
          </w:p>
          <w:p>
            <w:pPr>
              <w:pStyle w:val="Heading1"/>
              <w:numPr>
                <w:ilvl w:val="0"/>
                <w:numId w:val="3"/>
              </w:numPr>
              <w:jc w:val="center"/>
              <w:rPr>
                <w:rFonts w:ascii="Arial" w:hAnsi="Arial"/>
                <w:color w:val="000000"/>
                <w:szCs w:val="28"/>
              </w:rPr>
            </w:pPr>
            <w:r>
              <w:rPr>
                <w:rFonts w:ascii="Arial" w:hAnsi="Arial"/>
                <w:color w:val="000000"/>
                <w:szCs w:val="28"/>
              </w:rPr>
              <w:t>Bangladesh</w:t>
            </w:r>
          </w:p>
        </w:tc>
      </w:tr>
    </w:tbl>
    <w:p>
      <w:pPr>
        <w:pStyle w:val="Heading1"/>
        <w:numPr>
          <w:ilvl w:val="0"/>
          <w:numId w:val="3"/>
        </w:numPr>
        <w:jc w:val="both"/>
        <w:rPr>
          <w:rFonts w:ascii="Arial" w:hAnsi="Arial"/>
          <w:color w:val="000000"/>
          <w:szCs w:val="28"/>
        </w:rPr>
      </w:pPr>
      <w:r>
        <w:rPr>
          <w:rFonts w:ascii="Arial" w:hAnsi="Arial"/>
          <w:color w:val="000000"/>
          <w:szCs w:val="28"/>
        </w:rPr>
      </w:r>
    </w:p>
    <w:p>
      <w:pPr>
        <w:pStyle w:val="Heading1"/>
        <w:numPr>
          <w:ilvl w:val="0"/>
          <w:numId w:val="3"/>
        </w:numPr>
        <w:suppressAutoHyphens w:val="true"/>
        <w:snapToGrid w:val="false"/>
        <w:jc w:val="center"/>
        <w:rPr>
          <w:rFonts w:ascii="Arial" w:hAnsi="Arial"/>
          <w:color w:val="000000"/>
          <w:sz w:val="40"/>
          <w:szCs w:val="40"/>
          <w:highlight w:val="cyan"/>
          <w:lang w:val="en-GB"/>
        </w:rPr>
      </w:pPr>
      <w:r>
        <w:rPr>
          <w:rFonts w:ascii="Arial" w:hAnsi="Arial"/>
          <w:color w:val="000000"/>
          <w:sz w:val="40"/>
          <w:szCs w:val="40"/>
          <w:lang w:val="en-GB"/>
        </w:rPr>
        <w:t>COURSE OUTLINE</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 Title</w:t>
      </w:r>
      <w:r>
        <w:rPr>
          <w:rFonts w:ascii="Arial" w:hAnsi="Arial"/>
          <w:color w:val="000000"/>
          <w:szCs w:val="28"/>
          <w:lang w:val="en-GB"/>
        </w:rPr>
        <w:t>:</w:t>
      </w:r>
      <w:r>
        <w:rPr>
          <w:rFonts w:ascii="Arial" w:hAnsi="Arial"/>
          <w:b/>
          <w:bCs/>
          <w:color w:val="0900A7"/>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2. Code</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3. Credit hours</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4. Level</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5. Faculty</w:t>
      </w:r>
      <w:r>
        <w:rPr>
          <w:rFonts w:ascii="Arial" w:hAnsi="Arial"/>
          <w:color w:val="000000"/>
          <w:szCs w:val="28"/>
          <w:lang w:val="en-GB"/>
        </w:rPr>
        <w:t xml:space="preserve">: </w:t>
      </w:r>
      <w:r>
        <w:rPr>
          <w:rFonts w:ascii="Arial" w:hAnsi="Arial"/>
          <w:b/>
          <w:bCs/>
          <w:color w:val="800000"/>
          <w:szCs w:val="28"/>
          <w:lang w:val="en-GB"/>
        </w:rPr>
        <w:t>Engineering</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6. Department</w:t>
      </w:r>
      <w:r>
        <w:rPr>
          <w:rFonts w:ascii="Arial" w:hAnsi="Arial"/>
          <w:color w:val="000000"/>
          <w:szCs w:val="28"/>
          <w:lang w:val="en-GB"/>
        </w:rPr>
        <w:t xml:space="preserve">: </w:t>
      </w:r>
    </w:p>
    <w:p>
      <w:pPr>
        <w:pStyle w:val="Normal"/>
        <w:numPr>
          <w:ilvl w:val="0"/>
          <w:numId w:val="0"/>
        </w:numPr>
        <w:suppressAutoHyphens w:val="true"/>
        <w:snapToGrid w:val="false"/>
        <w:outlineLvl w:val="0"/>
        <w:rPr>
          <w:color w:val="000000"/>
          <w:szCs w:val="28"/>
          <w:lang w:val="en-GB"/>
        </w:rPr>
      </w:pPr>
      <w:r>
        <w:rPr>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7. Programme</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8. Synopsis from the Approved Curriculum</w:t>
      </w:r>
      <w:r>
        <w:rPr>
          <w:rFonts w:ascii="Arial" w:hAnsi="Arial"/>
          <w:color w:val="000000"/>
          <w:szCs w:val="28"/>
          <w:lang w:val="en-GB"/>
        </w:rPr>
        <w:t>:</w:t>
      </w:r>
    </w:p>
    <w:p>
      <w:pPr>
        <w:pStyle w:val="Normal"/>
        <w:spacing w:lineRule="auto" w:line="276"/>
        <w:ind w:left="0" w:right="-47" w:hanging="0"/>
        <w:jc w:val="both"/>
        <w:rPr>
          <w:rFonts w:ascii="Arial" w:hAnsi="Arial" w:eastAsia="Noto Sans CJK SC Regular" w:cs="Lohit Devanagari"/>
          <w:b/>
          <w:b/>
          <w:bCs/>
          <w:i/>
          <w:i/>
          <w:iCs/>
          <w:color w:val="0000FF"/>
          <w:kern w:val="2"/>
          <w:sz w:val="24"/>
          <w:szCs w:val="28"/>
          <w:lang w:val="en-GB" w:eastAsia="zh-CN" w:bidi="hi-IN"/>
        </w:rPr>
      </w:pPr>
      <w:r>
        <w:rPr>
          <w:rFonts w:eastAsia="Noto Sans CJK SC Regular" w:cs="Lohit Devanagari" w:ascii="Arial" w:hAnsi="Arial"/>
          <w:b/>
          <w:bCs/>
          <w:i/>
          <w:iCs/>
          <w:color w:val="0000FF"/>
          <w:kern w:val="2"/>
          <w:sz w:val="24"/>
          <w:szCs w:val="28"/>
          <w:lang w:val="en-GB" w:eastAsia="zh-CN" w:bidi="hi-IN"/>
        </w:rPr>
      </w:r>
    </w:p>
    <w:p>
      <w:pPr>
        <w:pStyle w:val="Normal"/>
        <w:numPr>
          <w:ilvl w:val="0"/>
          <w:numId w:val="0"/>
        </w:numPr>
        <w:suppressAutoHyphens w:val="true"/>
        <w:snapToGrid w:val="false"/>
        <w:outlineLvl w:val="0"/>
        <w:rPr/>
      </w:pPr>
      <w:r>
        <w:rPr>
          <w:rFonts w:ascii="Arial" w:hAnsi="Arial"/>
          <w:b/>
          <w:bCs/>
          <w:color w:val="000000"/>
          <w:szCs w:val="28"/>
          <w:lang w:val="en-GB"/>
        </w:rPr>
        <w:t>9. Type of course (core/elective)</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10. Prerequisite(s) (if any)</w:t>
      </w:r>
      <w:r>
        <w:rPr>
          <w:rFonts w:ascii="Arial" w:hAnsi="Arial"/>
          <w:color w:val="0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11. Name of the instructor(s) with contact details and office hours</w:t>
      </w:r>
      <w:r>
        <w:rPr>
          <w:rFonts w:ascii="Arial" w:hAnsi="Arial"/>
          <w:color w:val="000000"/>
          <w:szCs w:val="28"/>
          <w:lang w:val="en-GB"/>
        </w:rPr>
        <w:t>:</w:t>
      </w:r>
    </w:p>
    <w:p>
      <w:pPr>
        <w:pStyle w:val="Normal"/>
        <w:numPr>
          <w:ilvl w:val="0"/>
          <w:numId w:val="0"/>
        </w:numPr>
        <w:suppressAutoHyphens w:val="true"/>
        <w:snapToGrid w:val="false"/>
        <w:outlineLvl w:val="0"/>
        <w:rPr>
          <w:color w:val="000000"/>
          <w:szCs w:val="28"/>
          <w:lang w:val="en-GB"/>
        </w:rPr>
      </w:pPr>
      <w:r>
        <w:rPr>
          <w:color w:val="000000"/>
          <w:szCs w:val="28"/>
          <w:lang w:val="en-GB"/>
        </w:rPr>
      </w:r>
    </w:p>
    <w:p>
      <w:pPr>
        <w:pStyle w:val="Normal"/>
        <w:numPr>
          <w:ilvl w:val="0"/>
          <w:numId w:val="0"/>
        </w:numPr>
        <w:suppressAutoHyphens w:val="true"/>
        <w:snapToGrid w:val="false"/>
        <w:outlineLvl w:val="0"/>
        <w:rPr>
          <w:rFonts w:ascii="Arial" w:hAnsi="Arial"/>
          <w:b/>
          <w:b/>
          <w:bCs/>
          <w:i/>
          <w:i/>
          <w:iCs/>
          <w:color w:val="0000FF"/>
          <w:szCs w:val="28"/>
          <w:lang w:val="en-GB"/>
        </w:rPr>
      </w:pPr>
      <w:r>
        <w:rPr>
          <w:rFonts w:ascii="Arial" w:hAnsi="Arial"/>
          <w:b/>
          <w:bCs/>
          <w:i/>
          <w:iCs/>
          <w:color w:val="0000FF"/>
          <w:szCs w:val="28"/>
          <w:lang w:val="en-GB"/>
        </w:rPr>
        <w:tab/>
        <w:t>Name of the Instructor</w:t>
      </w:r>
    </w:p>
    <w:p>
      <w:pPr>
        <w:pStyle w:val="Normal"/>
        <w:numPr>
          <w:ilvl w:val="0"/>
          <w:numId w:val="0"/>
        </w:numPr>
        <w:suppressAutoHyphens w:val="true"/>
        <w:snapToGrid w:val="false"/>
        <w:outlineLvl w:val="0"/>
        <w:rPr>
          <w:rFonts w:ascii="Arial" w:hAnsi="Arial"/>
          <w:b/>
          <w:b/>
          <w:bCs/>
          <w:i/>
          <w:i/>
          <w:iCs/>
          <w:color w:val="0000FF"/>
          <w:szCs w:val="28"/>
          <w:lang w:val="en-GB"/>
        </w:rPr>
      </w:pPr>
      <w:r>
        <w:rPr>
          <w:rFonts w:ascii="Arial" w:hAnsi="Arial"/>
          <w:b/>
          <w:bCs/>
          <w:i/>
          <w:iCs/>
          <w:color w:val="0000FF"/>
          <w:szCs w:val="28"/>
          <w:lang w:val="en-GB"/>
        </w:rPr>
        <w:tab/>
        <w:t xml:space="preserve">Room: </w:t>
      </w:r>
    </w:p>
    <w:p>
      <w:pPr>
        <w:pStyle w:val="Normal"/>
        <w:numPr>
          <w:ilvl w:val="0"/>
          <w:numId w:val="0"/>
        </w:numPr>
        <w:suppressAutoHyphens w:val="true"/>
        <w:snapToGrid w:val="false"/>
        <w:outlineLvl w:val="0"/>
        <w:rPr>
          <w:rFonts w:ascii="Arial" w:hAnsi="Arial"/>
          <w:b/>
          <w:b/>
          <w:bCs/>
          <w:i/>
          <w:i/>
          <w:iCs/>
          <w:color w:val="0000FF"/>
          <w:szCs w:val="28"/>
          <w:lang w:val="en-GB"/>
        </w:rPr>
      </w:pPr>
      <w:r>
        <w:rPr>
          <w:rFonts w:ascii="Arial" w:hAnsi="Arial"/>
          <w:b/>
          <w:bCs/>
          <w:i/>
          <w:iCs/>
          <w:color w:val="0000FF"/>
          <w:szCs w:val="28"/>
          <w:lang w:val="en-GB"/>
        </w:rPr>
        <w:tab/>
        <w:t xml:space="preserve">Phone: </w:t>
      </w:r>
    </w:p>
    <w:p>
      <w:pPr>
        <w:pStyle w:val="Normal"/>
        <w:numPr>
          <w:ilvl w:val="0"/>
          <w:numId w:val="0"/>
        </w:numPr>
        <w:suppressAutoHyphens w:val="true"/>
        <w:snapToGrid w:val="false"/>
        <w:outlineLvl w:val="0"/>
        <w:rPr>
          <w:rFonts w:ascii="Arial" w:hAnsi="Arial"/>
          <w:b/>
          <w:b/>
          <w:bCs/>
          <w:i/>
          <w:i/>
          <w:iCs/>
          <w:color w:val="0000FF"/>
          <w:szCs w:val="28"/>
          <w:lang w:val="en-GB"/>
        </w:rPr>
      </w:pPr>
      <w:r>
        <w:rPr>
          <w:rFonts w:ascii="Arial" w:hAnsi="Arial"/>
          <w:b/>
          <w:bCs/>
          <w:i/>
          <w:iCs/>
          <w:color w:val="0000FF"/>
          <w:szCs w:val="28"/>
          <w:lang w:val="en-GB"/>
        </w:rPr>
        <w:tab/>
        <w:t xml:space="preserve">E-mail: </w:t>
      </w:r>
    </w:p>
    <w:p>
      <w:pPr>
        <w:pStyle w:val="Normal"/>
        <w:numPr>
          <w:ilvl w:val="0"/>
          <w:numId w:val="0"/>
        </w:numPr>
        <w:suppressAutoHyphens w:val="true"/>
        <w:snapToGrid w:val="false"/>
        <w:outlineLvl w:val="0"/>
        <w:rPr>
          <w:rFonts w:ascii="Arial" w:hAnsi="Arial"/>
          <w:b/>
          <w:b/>
          <w:bCs/>
          <w:i/>
          <w:i/>
          <w:iCs/>
          <w:color w:val="0000FF"/>
          <w:szCs w:val="28"/>
          <w:lang w:val="en-GB"/>
        </w:rPr>
      </w:pPr>
      <w:r>
        <w:rPr>
          <w:rFonts w:ascii="Arial" w:hAnsi="Arial"/>
          <w:b/>
          <w:bCs/>
          <w:i/>
          <w:iCs/>
          <w:color w:val="0000FF"/>
          <w:szCs w:val="28"/>
          <w:lang w:val="en-GB"/>
        </w:rPr>
        <w:tab/>
        <w:t xml:space="preserve">Consultation hour: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12. Semester Offered</w:t>
      </w:r>
      <w:r>
        <w:rPr>
          <w:rFonts w:ascii="Arial" w:hAnsi="Arial"/>
          <w:color w:val="000000"/>
          <w:szCs w:val="28"/>
          <w:lang w:val="en-GB"/>
        </w:rPr>
        <w:t>:</w:t>
      </w:r>
      <w:r>
        <w:rPr>
          <w:rFonts w:ascii="Arial" w:hAnsi="Arial"/>
          <w:b/>
          <w:bCs/>
          <w:color w:val="800000"/>
          <w:szCs w:val="28"/>
          <w:lang w:val="en-GB"/>
        </w:rPr>
        <w:t xml:space="preserve"> </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rFonts w:ascii="Arial" w:hAnsi="Arial"/>
          <w:b/>
          <w:b/>
          <w:bCs/>
          <w:color w:val="000000"/>
          <w:szCs w:val="28"/>
          <w:lang w:val="en-GB"/>
        </w:rPr>
      </w:pPr>
      <w:r>
        <w:rPr>
          <w:rFonts w:ascii="Arial" w:hAnsi="Arial"/>
          <w:b/>
          <w:bCs/>
          <w:color w:val="000000"/>
          <w:szCs w:val="28"/>
          <w:lang w:val="en-GB"/>
        </w:rPr>
      </w:r>
      <w:r>
        <w:br w:type="page"/>
      </w:r>
    </w:p>
    <w:p>
      <w:pPr>
        <w:pStyle w:val="Normal"/>
        <w:numPr>
          <w:ilvl w:val="0"/>
          <w:numId w:val="0"/>
        </w:numPr>
        <w:suppressAutoHyphens w:val="true"/>
        <w:snapToGrid w:val="false"/>
        <w:outlineLvl w:val="0"/>
        <w:rPr>
          <w:rFonts w:ascii="Arial" w:hAnsi="Arial"/>
          <w:b/>
          <w:b/>
          <w:bCs/>
          <w:color w:val="000000"/>
          <w:szCs w:val="28"/>
          <w:lang w:val="en-GB"/>
        </w:rPr>
      </w:pPr>
      <w:bookmarkStart w:id="0" w:name="__DdeLink__1157_3630991491"/>
      <w:bookmarkEnd w:id="0"/>
      <w:r>
        <w:rPr>
          <w:rFonts w:ascii="Arial" w:hAnsi="Arial"/>
          <w:b/>
          <w:bCs/>
          <w:color w:val="000000"/>
          <w:szCs w:val="28"/>
          <w:lang w:val="en-GB"/>
        </w:rPr>
        <w:t>13. Mapping of Course Outcomes (COs) with Program Outcomes (POs) and Bloom’s Taxonomy Level</w:t>
      </w:r>
    </w:p>
    <w:p>
      <w:pPr>
        <w:pStyle w:val="Normal"/>
        <w:numPr>
          <w:ilvl w:val="0"/>
          <w:numId w:val="0"/>
        </w:numPr>
        <w:suppressAutoHyphens w:val="true"/>
        <w:snapToGrid w:val="false"/>
        <w:outlineLvl w:val="0"/>
        <w:rPr>
          <w:rFonts w:ascii="Arial" w:hAnsi="Arial"/>
          <w:b/>
          <w:b/>
          <w:bCs/>
          <w:color w:val="000000"/>
          <w:szCs w:val="28"/>
          <w:lang w:val="en-GB"/>
        </w:rPr>
      </w:pPr>
      <w:r>
        <w:rPr>
          <w:rFonts w:ascii="Arial" w:hAnsi="Arial"/>
          <w:b/>
          <w:bCs/>
          <w:color w:val="000000"/>
          <w:szCs w:val="28"/>
          <w:lang w:val="en-GB"/>
        </w:rPr>
      </w:r>
      <w:bookmarkStart w:id="1" w:name="__DdeLink__1157_36309914911"/>
      <w:bookmarkStart w:id="2" w:name="__DdeLink__1157_36309914911"/>
      <w:bookmarkEnd w:id="2"/>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t>After completion of the course, the students will be expected to:</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bookmarkStart w:id="3" w:name="__DdeLink__2256_4093297824"/>
      <w:bookmarkStart w:id="4" w:name="__DdeLink__2256_4093297824"/>
      <w:bookmarkEnd w:id="4"/>
    </w:p>
    <w:tbl>
      <w:tblPr>
        <w:tblW w:w="9355"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79"/>
        <w:gridCol w:w="6266"/>
        <w:gridCol w:w="807"/>
        <w:gridCol w:w="544"/>
        <w:gridCol w:w="629"/>
        <w:gridCol w:w="529"/>
      </w:tblGrid>
      <w:tr>
        <w:trPr/>
        <w:tc>
          <w:tcPr>
            <w:tcW w:w="579"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Sl. No.</w:t>
            </w:r>
          </w:p>
        </w:tc>
        <w:tc>
          <w:tcPr>
            <w:tcW w:w="6266" w:type="dxa"/>
            <w:vMerge w:val="restart"/>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0"/>
              </w:numPr>
              <w:suppressAutoHyphens w:val="true"/>
              <w:snapToGrid w:val="false"/>
              <w:jc w:val="center"/>
              <w:outlineLvl w:val="0"/>
              <w:rPr>
                <w:rFonts w:ascii="Arial" w:hAnsi="Arial"/>
                <w:color w:val="000000"/>
                <w:szCs w:val="28"/>
                <w:lang w:val="en-GB"/>
              </w:rPr>
            </w:pPr>
            <w:r>
              <w:rPr>
                <w:rFonts w:ascii="Arial" w:hAnsi="Arial"/>
                <w:color w:val="000000"/>
                <w:szCs w:val="28"/>
                <w:lang w:val="en-GB"/>
              </w:rPr>
              <w:t>COs</w:t>
            </w:r>
          </w:p>
        </w:tc>
        <w:tc>
          <w:tcPr>
            <w:tcW w:w="807"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POs</w:t>
            </w:r>
          </w:p>
        </w:tc>
        <w:tc>
          <w:tcPr>
            <w:tcW w:w="1702"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rPr>
            </w:pPr>
            <w:r>
              <w:rPr>
                <w:rFonts w:ascii="Arial" w:hAnsi="Arial"/>
              </w:rPr>
              <w:t>Bloom’s Taxonomy</w:t>
            </w:r>
          </w:p>
        </w:tc>
      </w:tr>
      <w:tr>
        <w:trPr/>
        <w:tc>
          <w:tcPr>
            <w:tcW w:w="579"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pPr>
            <w:r>
              <w:rPr/>
            </w:r>
          </w:p>
        </w:tc>
        <w:tc>
          <w:tcPr>
            <w:tcW w:w="6266"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pPr>
            <w:r>
              <w:rPr/>
            </w:r>
          </w:p>
        </w:tc>
        <w:tc>
          <w:tcPr>
            <w:tcW w:w="807"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pPr>
            <w:r>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C</w:t>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A</w:t>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rPr>
            </w:pPr>
            <w:r>
              <w:rPr>
                <w:rFonts w:ascii="Arial" w:hAnsi="Arial"/>
              </w:rPr>
              <w:t>P</w:t>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57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66"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80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62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bl>
    <w:p>
      <w:pPr>
        <w:pStyle w:val="Normal"/>
        <w:numPr>
          <w:ilvl w:val="0"/>
          <w:numId w:val="0"/>
        </w:numPr>
        <w:suppressAutoHyphens w:val="true"/>
        <w:snapToGrid w:val="false"/>
        <w:outlineLvl w:val="0"/>
        <w:rPr>
          <w:rFonts w:ascii="Arial" w:hAnsi="Arial"/>
          <w:b/>
          <w:b/>
          <w:bCs/>
          <w:color w:val="000000"/>
          <w:szCs w:val="28"/>
          <w:lang w:val="en-GB"/>
        </w:rPr>
      </w:pPr>
      <w:r>
        <w:rPr>
          <w:rFonts w:ascii="Arial" w:hAnsi="Arial"/>
          <w:b/>
          <w:bCs/>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14. Mapping of COs with Knowledge Profiles, Complex Engineering Problem Solving and Complex Engineering Activities</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tbl>
      <w:tblPr>
        <w:tblW w:w="9638" w:type="dxa"/>
        <w:jc w:val="left"/>
        <w:tblInd w:w="1"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1800"/>
        <w:gridCol w:w="2429"/>
        <w:gridCol w:w="3001"/>
        <w:gridCol w:w="2407"/>
      </w:tblGrid>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highlight w:val="yellow"/>
              </w:rPr>
            </w:pPr>
            <w:r>
              <w:rPr/>
              <w:t>Course Outcome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highlight w:val="yellow"/>
              </w:rPr>
            </w:pPr>
            <w:r>
              <w:rPr/>
              <w:t>Knowledge Profile</w:t>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highlight w:val="yellow"/>
              </w:rPr>
            </w:pPr>
            <w:r>
              <w:rPr/>
              <w:t>Complex Problem Solving</w:t>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highlight w:val="yellow"/>
              </w:rPr>
            </w:pPr>
            <w:r>
              <w:rPr/>
              <w:t>Complex Engineering Activities</w:t>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180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300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bl>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b/>
          <w:bCs/>
          <w:color w:val="000000"/>
          <w:szCs w:val="28"/>
          <w:lang w:val="en-GB"/>
        </w:rPr>
        <w:t>15. Percentages of Assessment Methods</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tbl>
      <w:tblPr>
        <w:tblW w:w="9723"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7198"/>
        <w:gridCol w:w="2524"/>
      </w:tblGrid>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Method</w:t>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rPr>
            </w:pPr>
            <w:r>
              <w:rPr>
                <w:rFonts w:ascii="Arial" w:hAnsi="Arial"/>
              </w:rPr>
              <w:t>Percentage</w:t>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val="false"/>
                <w:i w:val="false"/>
                <w:iCs w:val="false"/>
                <w:color w:val="0000FF"/>
              </w:rPr>
            </w:pPr>
            <w:r>
              <w:rPr>
                <w:rFonts w:ascii="Arial" w:hAnsi="Arial"/>
                <w:b/>
                <w:bCs/>
                <w:i w:val="false"/>
                <w:iCs w:val="false"/>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center" w:pos="1046" w:leader="none"/>
              </w:tabs>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jc w:val="center"/>
              <w:rPr>
                <w:rFonts w:ascii="Arial" w:hAnsi="Arial"/>
                <w:b/>
                <w:b/>
                <w:bCs/>
                <w:i w:val="false"/>
                <w:i w:val="false"/>
                <w:iCs w:val="false"/>
                <w:color w:val="0000FF"/>
              </w:rPr>
            </w:pPr>
            <w:r>
              <w:rPr>
                <w:rFonts w:ascii="Arial" w:hAnsi="Arial"/>
                <w:b/>
                <w:bCs/>
                <w:i w:val="false"/>
                <w:iCs w:val="false"/>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bookmarkStart w:id="5" w:name="__DdeLink__1211_3522513794"/>
            <w:bookmarkStart w:id="6" w:name="__DdeLink__1211_3522513794"/>
            <w:bookmarkEnd w:id="6"/>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pPr>
            <w:r>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7198" w:type="dxa"/>
            <w:tcBorders>
              <w:top w:val="single" w:sz="2" w:space="0" w:color="000001"/>
              <w:left w:val="single" w:sz="2" w:space="0" w:color="000001"/>
              <w:bottom w:val="single" w:sz="2" w:space="0" w:color="000001"/>
              <w:insideH w:val="single" w:sz="2" w:space="0" w:color="000001"/>
            </w:tcBorders>
            <w:shd w:fill="auto" w:val="clear"/>
          </w:tcPr>
          <w:p>
            <w:pPr>
              <w:pStyle w:val="Normal"/>
              <w:tabs>
                <w:tab w:val="left" w:pos="2592" w:leader="none"/>
              </w:tabs>
              <w:jc w:val="center"/>
              <w:rPr>
                <w:rFonts w:ascii="Arial" w:hAnsi="Arial"/>
                <w:b/>
                <w:b/>
                <w:bCs/>
                <w:i/>
                <w:i/>
                <w:iCs/>
                <w:color w:val="0000FF"/>
              </w:rPr>
            </w:pPr>
            <w:r>
              <w:rPr>
                <w:rFonts w:ascii="Arial" w:hAnsi="Arial"/>
                <w:b/>
                <w:bCs/>
                <w:i/>
                <w:iCs/>
                <w:color w:val="0000FF"/>
              </w:rPr>
            </w:r>
          </w:p>
        </w:tc>
        <w:tc>
          <w:tcPr>
            <w:tcW w:w="2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bl>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t xml:space="preserve"> </w:t>
      </w:r>
    </w:p>
    <w:p>
      <w:pPr>
        <w:pStyle w:val="Normal"/>
        <w:numPr>
          <w:ilvl w:val="0"/>
          <w:numId w:val="0"/>
        </w:numPr>
        <w:suppressAutoHyphens w:val="true"/>
        <w:snapToGrid w:val="false"/>
        <w:outlineLvl w:val="0"/>
        <w:rPr/>
      </w:pPr>
      <w:r>
        <w:rPr>
          <w:rFonts w:ascii="Arial" w:hAnsi="Arial"/>
          <w:b/>
          <w:bCs/>
          <w:color w:val="000000"/>
          <w:szCs w:val="28"/>
          <w:lang w:val="en-GB"/>
        </w:rPr>
        <w:t>16. Week wise distribution of contents and assessment methods</w:t>
      </w:r>
    </w:p>
    <w:p>
      <w:pPr>
        <w:pStyle w:val="Normal"/>
        <w:numPr>
          <w:ilvl w:val="0"/>
          <w:numId w:val="0"/>
        </w:numPr>
        <w:suppressAutoHyphens w:val="true"/>
        <w:snapToGrid w:val="false"/>
        <w:outlineLvl w:val="0"/>
        <w:rPr>
          <w:rFonts w:ascii="Arial" w:hAnsi="Arial"/>
          <w:b/>
          <w:b/>
          <w:bCs/>
          <w:color w:val="000000"/>
          <w:szCs w:val="28"/>
          <w:lang w:val="en-GB"/>
        </w:rPr>
      </w:pPr>
      <w:r>
        <w:rPr>
          <w:rFonts w:ascii="Arial" w:hAnsi="Arial"/>
          <w:b/>
          <w:bCs/>
          <w:color w:val="000000"/>
          <w:szCs w:val="28"/>
          <w:lang w:val="en-GB"/>
        </w:rPr>
      </w:r>
    </w:p>
    <w:p>
      <w:pPr>
        <w:pStyle w:val="Normal"/>
        <w:jc w:val="both"/>
        <w:rPr>
          <w:rFonts w:ascii="Arial" w:hAnsi="Arial"/>
          <w:color w:val="000000"/>
          <w:szCs w:val="28"/>
          <w:lang w:val="en-GB"/>
        </w:rPr>
      </w:pPr>
      <w:r>
        <w:rPr>
          <w:rFonts w:ascii="Arial" w:hAnsi="Arial"/>
          <w:color w:val="000000"/>
          <w:szCs w:val="28"/>
          <w:lang w:val="en-GB"/>
        </w:rPr>
      </w:r>
    </w:p>
    <w:tbl>
      <w:tblPr>
        <w:tblW w:w="997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995"/>
        <w:gridCol w:w="5653"/>
        <w:gridCol w:w="3324"/>
      </w:tblGrid>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Week</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t>Topics</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rPr>
            </w:pPr>
            <w:r>
              <w:rPr>
                <w:rFonts w:ascii="Arial" w:hAnsi="Arial"/>
              </w:rPr>
              <w:t>Assessment Method(s)</w:t>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2</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3</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4</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5</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6</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7</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8</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9</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10</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11</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both"/>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12</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both"/>
              <w:rPr>
                <w:rFonts w:ascii="Arial" w:hAnsi="Arial"/>
                <w:b/>
                <w:b/>
                <w:bCs/>
                <w:i/>
                <w:i/>
                <w:iCs/>
                <w:color w:val="0000FF"/>
                <w:lang w:val="en-GB" w:eastAsia="ja-JP"/>
              </w:rPr>
            </w:pPr>
            <w:r>
              <w:rPr>
                <w:rFonts w:ascii="Arial" w:hAnsi="Arial"/>
                <w:b/>
                <w:bCs/>
                <w:i/>
                <w:iCs/>
                <w:color w:val="0000FF"/>
                <w:lang w:val="en-GB" w:eastAsia="ja-JP"/>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13</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9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t>14</w:t>
            </w:r>
          </w:p>
        </w:tc>
        <w:tc>
          <w:tcPr>
            <w:tcW w:w="5653"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ED1C24"/>
                <w:lang w:val="en-GB"/>
              </w:rPr>
            </w:pPr>
            <w:r>
              <w:rPr>
                <w:rFonts w:ascii="Arial" w:hAnsi="Arial"/>
                <w:b/>
                <w:bCs/>
                <w:i/>
                <w:iCs/>
                <w:color w:val="ED1C24"/>
                <w:lang w:val="en-GB"/>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2592" w:leader="none"/>
              </w:tabs>
              <w:jc w:val="center"/>
              <w:rPr>
                <w:rFonts w:ascii="Arial" w:hAnsi="Arial"/>
                <w:b/>
                <w:b/>
                <w:bCs/>
                <w:i/>
                <w:i/>
                <w:iCs/>
                <w:color w:val="0000FF"/>
                <w:lang w:val="en-GB"/>
              </w:rPr>
            </w:pPr>
            <w:r>
              <w:rPr>
                <w:rFonts w:ascii="Arial" w:hAnsi="Arial"/>
                <w:b/>
                <w:bCs/>
                <w:i/>
                <w:iCs/>
                <w:color w:val="0000FF"/>
                <w:lang w:val="en-GB"/>
              </w:rPr>
            </w:r>
          </w:p>
        </w:tc>
      </w:tr>
    </w:tbl>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rFonts w:ascii="Arial" w:hAnsi="Arial"/>
          <w:b/>
          <w:b/>
          <w:bCs/>
          <w:color w:val="000000"/>
          <w:szCs w:val="28"/>
          <w:lang w:val="en-GB"/>
        </w:rPr>
      </w:pPr>
      <w:r>
        <w:rPr>
          <w:rFonts w:ascii="Arial" w:hAnsi="Arial"/>
          <w:b/>
          <w:bCs/>
          <w:color w:val="000000"/>
          <w:szCs w:val="28"/>
          <w:lang w:val="en-GB"/>
        </w:rPr>
      </w:r>
    </w:p>
    <w:p>
      <w:pPr>
        <w:pStyle w:val="Normal"/>
        <w:numPr>
          <w:ilvl w:val="0"/>
          <w:numId w:val="0"/>
        </w:numPr>
        <w:suppressAutoHyphens w:val="true"/>
        <w:snapToGrid w:val="false"/>
        <w:jc w:val="center"/>
        <w:outlineLvl w:val="0"/>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p>
      <w:pPr>
        <w:pStyle w:val="Normal"/>
        <w:numPr>
          <w:ilvl w:val="0"/>
          <w:numId w:val="0"/>
        </w:numPr>
        <w:suppressAutoHyphens w:val="true"/>
        <w:snapToGrid w:val="false"/>
        <w:outlineLvl w:val="0"/>
        <w:rPr/>
      </w:pPr>
      <w:r>
        <w:rPr>
          <w:rFonts w:ascii="Arial" w:hAnsi="Arial"/>
          <w:b/>
          <w:bCs/>
          <w:color w:val="000000"/>
          <w:szCs w:val="28"/>
          <w:lang w:val="en-GB"/>
        </w:rPr>
        <w:t>17.</w:t>
      </w:r>
      <w:r>
        <w:rPr>
          <w:rFonts w:ascii="Arial" w:hAnsi="Arial"/>
          <w:color w:val="000000"/>
          <w:szCs w:val="28"/>
          <w:lang w:val="en-GB"/>
        </w:rPr>
        <w:t xml:space="preserve"> </w:t>
      </w:r>
      <w:r>
        <w:rPr>
          <w:rFonts w:ascii="Arial" w:hAnsi="Arial"/>
          <w:b/>
          <w:bCs/>
          <w:color w:val="000000"/>
          <w:szCs w:val="28"/>
          <w:lang w:val="en-GB"/>
        </w:rPr>
        <w:t>References</w:t>
      </w:r>
    </w:p>
    <w:p>
      <w:pPr>
        <w:pStyle w:val="Normal"/>
        <w:numPr>
          <w:ilvl w:val="0"/>
          <w:numId w:val="0"/>
        </w:numPr>
        <w:suppressAutoHyphens w:val="true"/>
        <w:snapToGrid w:val="false"/>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outlineLvl w:val="0"/>
        <w:rPr/>
      </w:pPr>
      <w:r>
        <w:rPr>
          <w:rFonts w:ascii="Arial" w:hAnsi="Arial"/>
          <w:color w:val="000000"/>
          <w:szCs w:val="28"/>
          <w:lang w:val="en-GB"/>
        </w:rPr>
        <w:t>17.1. Required (if any)</w:t>
      </w:r>
    </w:p>
    <w:p>
      <w:pPr>
        <w:pStyle w:val="Normal"/>
        <w:numPr>
          <w:ilvl w:val="0"/>
          <w:numId w:val="0"/>
        </w:numPr>
        <w:suppressAutoHyphens w:val="true"/>
        <w:snapToGrid w:val="false"/>
        <w:outlineLvl w:val="0"/>
        <w:rPr>
          <w:rFonts w:ascii="Arial" w:hAnsi="Arial"/>
          <w:b/>
          <w:b/>
          <w:bCs/>
          <w:color w:val="800000"/>
          <w:szCs w:val="28"/>
          <w:lang w:val="en-GB"/>
        </w:rPr>
      </w:pPr>
      <w:r>
        <w:rPr>
          <w:rFonts w:ascii="Arial" w:hAnsi="Arial"/>
          <w:b/>
          <w:bCs/>
          <w:color w:val="800000"/>
          <w:szCs w:val="28"/>
          <w:lang w:val="en-GB"/>
        </w:rPr>
      </w:r>
    </w:p>
    <w:p>
      <w:pPr>
        <w:pStyle w:val="Normal"/>
        <w:numPr>
          <w:ilvl w:val="0"/>
          <w:numId w:val="0"/>
        </w:numPr>
        <w:suppressAutoHyphens w:val="true"/>
        <w:snapToGrid w:val="false"/>
        <w:outlineLvl w:val="0"/>
        <w:rPr>
          <w:rFonts w:ascii="Arial" w:hAnsi="Arial"/>
          <w:b/>
          <w:b/>
          <w:bCs/>
          <w:color w:val="800000"/>
          <w:szCs w:val="28"/>
          <w:lang w:val="en-GB"/>
        </w:rPr>
      </w:pPr>
      <w:r>
        <w:rPr>
          <w:rFonts w:ascii="Arial" w:hAnsi="Arial"/>
          <w:b/>
          <w:bCs/>
          <w:color w:val="800000"/>
          <w:szCs w:val="28"/>
          <w:lang w:val="en-GB"/>
        </w:rPr>
      </w:r>
    </w:p>
    <w:p>
      <w:pPr>
        <w:pStyle w:val="Normal"/>
        <w:numPr>
          <w:ilvl w:val="0"/>
          <w:numId w:val="0"/>
        </w:numPr>
        <w:suppressAutoHyphens w:val="true"/>
        <w:snapToGrid w:val="false"/>
        <w:outlineLvl w:val="0"/>
        <w:rPr/>
      </w:pPr>
      <w:r>
        <w:rPr>
          <w:rFonts w:ascii="Arial" w:hAnsi="Arial"/>
          <w:color w:val="000000"/>
          <w:szCs w:val="28"/>
          <w:lang w:val="en-GB"/>
        </w:rPr>
        <w:t>17.2. Recommended (if any)</w:t>
      </w:r>
    </w:p>
    <w:p>
      <w:pPr>
        <w:pStyle w:val="Normal"/>
        <w:numPr>
          <w:ilvl w:val="0"/>
          <w:numId w:val="0"/>
        </w:numPr>
        <w:suppressAutoHyphens w:val="true"/>
        <w:snapToGrid w:val="false"/>
        <w:outlineLvl w:val="0"/>
        <w:rPr>
          <w:rFonts w:ascii="Arial" w:hAnsi="Arial"/>
          <w:b/>
          <w:b/>
          <w:bCs/>
          <w:color w:val="800000"/>
          <w:szCs w:val="28"/>
          <w:lang w:val="en-GB"/>
        </w:rPr>
      </w:pPr>
      <w:r>
        <w:rPr>
          <w:rFonts w:ascii="Arial" w:hAnsi="Arial"/>
          <w:b/>
          <w:bCs/>
          <w:color w:val="800000"/>
          <w:szCs w:val="28"/>
          <w:lang w:val="en-GB"/>
        </w:rPr>
      </w:r>
    </w:p>
    <w:p>
      <w:pPr>
        <w:pStyle w:val="Normal"/>
        <w:numPr>
          <w:ilvl w:val="0"/>
          <w:numId w:val="0"/>
        </w:numPr>
        <w:suppressAutoHyphens w:val="true"/>
        <w:snapToGrid w:val="false"/>
        <w:outlineLvl w:val="0"/>
        <w:rPr>
          <w:rFonts w:ascii="Arial" w:hAnsi="Arial"/>
          <w:b/>
          <w:b/>
          <w:bCs/>
          <w:color w:val="800000"/>
          <w:szCs w:val="28"/>
          <w:lang w:val="en-GB"/>
        </w:rPr>
      </w:pPr>
      <w:r>
        <w:rPr>
          <w:rFonts w:ascii="Arial" w:hAnsi="Arial"/>
          <w:b/>
          <w:bCs/>
          <w:color w:val="800000"/>
          <w:szCs w:val="28"/>
          <w:lang w:val="en-GB"/>
        </w:rPr>
      </w:r>
    </w:p>
    <w:tbl>
      <w:tblPr>
        <w:tblW w:w="997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3324"/>
        <w:gridCol w:w="3324"/>
        <w:gridCol w:w="3324"/>
      </w:tblGrid>
      <w:tr>
        <w:trPr/>
        <w:tc>
          <w:tcPr>
            <w:tcW w:w="332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rPr>
            </w:pPr>
            <w:r>
              <w:rPr>
                <w:rFonts w:ascii="Arial" w:hAnsi="Arial"/>
                <w:b/>
                <w:bCs/>
              </w:rPr>
              <w:t>Prepared by:</w:t>
            </w:r>
          </w:p>
          <w:p>
            <w:pPr>
              <w:pStyle w:val="TableContents"/>
              <w:rPr>
                <w:rFonts w:ascii="Arial" w:hAnsi="Arial"/>
              </w:rPr>
            </w:pPr>
            <w:r>
              <w:rPr>
                <w:rFonts w:ascii="Arial" w:hAnsi="Arial"/>
              </w:rPr>
            </w:r>
          </w:p>
          <w:p>
            <w:pPr>
              <w:pStyle w:val="TableContents"/>
              <w:rPr>
                <w:rFonts w:ascii="Arial" w:hAnsi="Arial"/>
              </w:rPr>
            </w:pPr>
            <w:r>
              <w:rPr>
                <w:rFonts w:ascii="Arial" w:hAnsi="Arial"/>
              </w:rPr>
            </w:r>
          </w:p>
          <w:p>
            <w:pPr>
              <w:pStyle w:val="TableContents"/>
              <w:rPr>
                <w:rFonts w:ascii="Arial" w:hAnsi="Arial"/>
              </w:rPr>
            </w:pPr>
            <w:r>
              <w:rPr>
                <w:rFonts w:ascii="Arial" w:hAnsi="Arial"/>
              </w:rPr>
              <w:t>Signature: __________________</w:t>
            </w:r>
          </w:p>
          <w:p>
            <w:pPr>
              <w:pStyle w:val="TableContents"/>
              <w:rPr>
                <w:rFonts w:ascii="Arial" w:hAnsi="Arial"/>
              </w:rPr>
            </w:pPr>
            <w:r>
              <w:rPr>
                <w:rFonts w:ascii="Arial" w:hAnsi="Arial"/>
              </w:rPr>
            </w:r>
          </w:p>
          <w:p>
            <w:pPr>
              <w:pStyle w:val="TableContents"/>
              <w:rPr/>
            </w:pPr>
            <w:r>
              <w:rPr>
                <w:rFonts w:ascii="Arial" w:hAnsi="Arial"/>
              </w:rPr>
              <w:t xml:space="preserve">Name: </w:t>
            </w:r>
            <w:r>
              <w:rPr>
                <w:rFonts w:ascii="Arial" w:hAnsi="Arial"/>
                <w:b/>
                <w:bCs/>
                <w:i/>
                <w:iCs/>
                <w:color w:val="0000FF"/>
              </w:rPr>
              <w:t>{Name of the Instructor}</w:t>
            </w:r>
          </w:p>
          <w:p>
            <w:pPr>
              <w:pStyle w:val="TableContents"/>
              <w:rPr>
                <w:rFonts w:ascii="Arial" w:hAnsi="Arial"/>
              </w:rPr>
            </w:pPr>
            <w:r>
              <w:rPr>
                <w:rFonts w:ascii="Arial" w:hAnsi="Arial"/>
              </w:rPr>
              <w:t xml:space="preserve">Department: </w:t>
            </w:r>
          </w:p>
          <w:p>
            <w:pPr>
              <w:pStyle w:val="TableContents"/>
              <w:rPr>
                <w:rFonts w:ascii="Arial" w:hAnsi="Arial"/>
              </w:rPr>
            </w:pPr>
            <w:r>
              <w:rPr>
                <w:rFonts w:ascii="Arial" w:hAnsi="Arial"/>
              </w:rPr>
              <w:t xml:space="preserve">Date: </w:t>
            </w:r>
          </w:p>
        </w:tc>
        <w:tc>
          <w:tcPr>
            <w:tcW w:w="332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rPr>
            </w:pPr>
            <w:r>
              <w:rPr>
                <w:rFonts w:ascii="Arial" w:hAnsi="Arial"/>
                <w:b/>
                <w:bCs/>
              </w:rPr>
              <w:t>Checked by:</w:t>
            </w:r>
          </w:p>
          <w:p>
            <w:pPr>
              <w:pStyle w:val="TableContents"/>
              <w:rPr>
                <w:rFonts w:ascii="Arial" w:hAnsi="Arial"/>
              </w:rPr>
            </w:pPr>
            <w:r>
              <w:rPr>
                <w:rFonts w:ascii="Arial" w:hAnsi="Arial"/>
              </w:rPr>
            </w:r>
          </w:p>
          <w:p>
            <w:pPr>
              <w:pStyle w:val="TableContents"/>
              <w:rPr>
                <w:rFonts w:ascii="Arial" w:hAnsi="Arial"/>
              </w:rPr>
            </w:pPr>
            <w:r>
              <w:rPr>
                <w:rFonts w:ascii="Arial" w:hAnsi="Arial"/>
              </w:rPr>
            </w:r>
          </w:p>
          <w:p>
            <w:pPr>
              <w:pStyle w:val="TableContents"/>
              <w:rPr>
                <w:rFonts w:ascii="Arial" w:hAnsi="Arial"/>
              </w:rPr>
            </w:pPr>
            <w:r>
              <w:rPr>
                <w:rFonts w:ascii="Arial" w:hAnsi="Arial"/>
              </w:rPr>
              <w:t>Signature: __________________</w:t>
            </w:r>
          </w:p>
          <w:p>
            <w:pPr>
              <w:pStyle w:val="TableContents"/>
              <w:rPr>
                <w:rFonts w:ascii="Arial" w:hAnsi="Arial"/>
              </w:rPr>
            </w:pPr>
            <w:r>
              <w:rPr>
                <w:rFonts w:ascii="Arial" w:hAnsi="Arial"/>
              </w:rPr>
            </w:r>
          </w:p>
          <w:p>
            <w:pPr>
              <w:pStyle w:val="TableContents"/>
              <w:rPr/>
            </w:pPr>
            <w:r>
              <w:rPr>
                <w:rFonts w:ascii="Arial" w:hAnsi="Arial"/>
              </w:rPr>
              <w:t xml:space="preserve">Name: </w:t>
            </w:r>
            <w:bookmarkStart w:id="7" w:name="__DdeLink__2302_2987310397"/>
            <w:r>
              <w:rPr>
                <w:rFonts w:ascii="Arial" w:hAnsi="Arial"/>
                <w:b/>
                <w:bCs/>
                <w:i/>
                <w:iCs/>
                <w:color w:val="0000FF"/>
              </w:rPr>
              <w:t>{Name of the Program coordinator}</w:t>
            </w:r>
            <w:bookmarkEnd w:id="7"/>
          </w:p>
          <w:p>
            <w:pPr>
              <w:pStyle w:val="TableContents"/>
              <w:rPr/>
            </w:pPr>
            <w:r>
              <w:rPr>
                <w:rFonts w:ascii="Arial" w:hAnsi="Arial"/>
              </w:rPr>
              <w:t>OBE Program Coordinator,</w:t>
            </w:r>
            <w:r>
              <w:rPr>
                <w:rFonts w:ascii="Arial" w:hAnsi="Arial"/>
                <w:b/>
                <w:bCs/>
                <w:color w:val="800000"/>
              </w:rPr>
              <w:t xml:space="preserve"> </w:t>
            </w:r>
            <w:bookmarkStart w:id="8" w:name="__DdeLink__2892_3685467166"/>
            <w:r>
              <w:rPr>
                <w:rFonts w:ascii="Arial" w:hAnsi="Arial"/>
                <w:b/>
                <w:bCs/>
                <w:i/>
                <w:iCs/>
                <w:color w:val="0000FF"/>
              </w:rPr>
              <w:t>Name of the Department</w:t>
            </w:r>
            <w:bookmarkEnd w:id="8"/>
          </w:p>
          <w:p>
            <w:pPr>
              <w:pStyle w:val="TableContents"/>
              <w:rPr>
                <w:rFonts w:ascii="Arial" w:hAnsi="Arial"/>
              </w:rPr>
            </w:pPr>
            <w:r>
              <w:rPr>
                <w:rFonts w:ascii="Arial" w:hAnsi="Arial"/>
              </w:rPr>
              <w:t xml:space="preserve">Date: </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rPr>
            </w:pPr>
            <w:r>
              <w:rPr>
                <w:rFonts w:ascii="Arial" w:hAnsi="Arial"/>
                <w:b/>
                <w:bCs/>
              </w:rPr>
              <w:t>Approved by:</w:t>
            </w:r>
          </w:p>
          <w:p>
            <w:pPr>
              <w:pStyle w:val="TableContents"/>
              <w:rPr>
                <w:rFonts w:ascii="Arial" w:hAnsi="Arial"/>
              </w:rPr>
            </w:pPr>
            <w:r>
              <w:rPr>
                <w:rFonts w:ascii="Arial" w:hAnsi="Arial"/>
              </w:rPr>
            </w:r>
          </w:p>
          <w:p>
            <w:pPr>
              <w:pStyle w:val="TableContents"/>
              <w:rPr>
                <w:rFonts w:ascii="Arial" w:hAnsi="Arial"/>
              </w:rPr>
            </w:pPr>
            <w:r>
              <w:rPr>
                <w:rFonts w:ascii="Arial" w:hAnsi="Arial"/>
              </w:rPr>
            </w:r>
          </w:p>
          <w:p>
            <w:pPr>
              <w:pStyle w:val="TableContents"/>
              <w:rPr>
                <w:rFonts w:ascii="Arial" w:hAnsi="Arial"/>
              </w:rPr>
            </w:pPr>
            <w:r>
              <w:rPr>
                <w:rFonts w:ascii="Arial" w:hAnsi="Arial"/>
              </w:rPr>
              <w:t>Signature: __________________</w:t>
            </w:r>
          </w:p>
          <w:p>
            <w:pPr>
              <w:pStyle w:val="TableContents"/>
              <w:rPr>
                <w:rFonts w:ascii="Arial" w:hAnsi="Arial"/>
              </w:rPr>
            </w:pPr>
            <w:r>
              <w:rPr>
                <w:rFonts w:ascii="Arial" w:hAnsi="Arial"/>
              </w:rPr>
            </w:r>
          </w:p>
          <w:p>
            <w:pPr>
              <w:pStyle w:val="TableContents"/>
              <w:rPr>
                <w:rFonts w:ascii="Arial" w:hAnsi="Arial"/>
              </w:rPr>
            </w:pPr>
            <w:r>
              <w:rPr>
                <w:rFonts w:ascii="Arial" w:hAnsi="Arial"/>
              </w:rPr>
              <w:t xml:space="preserve">Name: </w:t>
            </w:r>
          </w:p>
          <w:p>
            <w:pPr>
              <w:pStyle w:val="TableContents"/>
              <w:rPr/>
            </w:pPr>
            <w:r>
              <w:rPr>
                <w:rFonts w:ascii="Arial" w:hAnsi="Arial"/>
              </w:rPr>
              <w:t>HOD,</w:t>
            </w:r>
            <w:r>
              <w:rPr>
                <w:rFonts w:ascii="Arial" w:hAnsi="Arial"/>
                <w:b/>
                <w:bCs/>
                <w:color w:val="800000"/>
              </w:rPr>
              <w:t xml:space="preserve"> </w:t>
            </w:r>
            <w:r>
              <w:rPr>
                <w:rFonts w:ascii="Arial" w:hAnsi="Arial"/>
                <w:b/>
                <w:bCs/>
                <w:i/>
                <w:iCs/>
                <w:color w:val="0000FF"/>
              </w:rPr>
              <w:t>Name of the Department</w:t>
            </w:r>
          </w:p>
          <w:p>
            <w:pPr>
              <w:pStyle w:val="TableContents"/>
              <w:rPr/>
            </w:pPr>
            <w:r>
              <w:rPr>
                <w:rFonts w:ascii="Arial" w:hAnsi="Arial"/>
                <w:b/>
                <w:bCs/>
              </w:rPr>
              <w:t>Date:</w:t>
            </w:r>
            <w:r>
              <w:rPr>
                <w:rFonts w:ascii="Arial" w:hAnsi="Arial"/>
                <w:b/>
                <w:bCs/>
                <w:color w:val="800000"/>
              </w:rPr>
              <w:t xml:space="preserve"> </w:t>
            </w:r>
          </w:p>
        </w:tc>
      </w:tr>
    </w:tbl>
    <w:p>
      <w:pPr>
        <w:pStyle w:val="Normal"/>
        <w:numPr>
          <w:ilvl w:val="0"/>
          <w:numId w:val="0"/>
        </w:numPr>
        <w:suppressAutoHyphens w:val="true"/>
        <w:snapToGrid w:val="false"/>
        <w:outlineLvl w:val="0"/>
        <w:rPr/>
      </w:pPr>
      <w:r>
        <w:rPr/>
      </w:r>
      <w:r>
        <w:br w:type="page"/>
      </w:r>
    </w:p>
    <w:p>
      <w:pPr>
        <w:pStyle w:val="Heading1"/>
        <w:numPr>
          <w:ilvl w:val="0"/>
          <w:numId w:val="2"/>
        </w:numPr>
        <w:jc w:val="center"/>
        <w:rPr/>
      </w:pPr>
      <w:r>
        <w:rPr/>
        <w:t>Annex-1: Generic PEOs for Engineering Programs at AUST</w:t>
      </w:r>
    </w:p>
    <w:p>
      <w:pPr>
        <w:pStyle w:val="Normal"/>
        <w:jc w:val="center"/>
        <w:rPr/>
      </w:pPr>
      <w:r>
        <w:rPr/>
      </w:r>
    </w:p>
    <w:p>
      <w:pPr>
        <w:pStyle w:val="Normal"/>
        <w:rPr>
          <w:b/>
          <w:b/>
          <w:bCs/>
          <w:color w:val="ED1C24"/>
        </w:rPr>
      </w:pPr>
      <w:r>
        <w:rPr>
          <w:b/>
          <w:bCs/>
          <w:color w:val="ED1C24"/>
        </w:rPr>
        <w:t>PEO1 - Professionalism</w:t>
      </w:r>
    </w:p>
    <w:p>
      <w:pPr>
        <w:pStyle w:val="Normal"/>
        <w:rPr/>
      </w:pPr>
      <w:r>
        <w:rPr/>
        <w:t>Graduates will demonstrate sound professionalism in engineering or related fields.</w:t>
      </w:r>
    </w:p>
    <w:p>
      <w:pPr>
        <w:pStyle w:val="Normal"/>
        <w:rPr/>
      </w:pPr>
      <w:r>
        <w:rPr/>
      </w:r>
    </w:p>
    <w:p>
      <w:pPr>
        <w:pStyle w:val="Normal"/>
        <w:rPr>
          <w:b/>
          <w:b/>
          <w:bCs/>
          <w:color w:val="ED1C24"/>
        </w:rPr>
      </w:pPr>
      <w:r>
        <w:rPr>
          <w:b/>
          <w:bCs/>
          <w:color w:val="ED1C24"/>
        </w:rPr>
        <w:t>PEO2 – Continuous Personal Development</w:t>
      </w:r>
    </w:p>
    <w:p>
      <w:pPr>
        <w:pStyle w:val="Normal"/>
        <w:rPr/>
      </w:pPr>
      <w:r>
        <w:rPr/>
        <w:t>Graduates will engage in life-long learning in multi-disciplinary fields for industrial and academic careers.</w:t>
      </w:r>
    </w:p>
    <w:p>
      <w:pPr>
        <w:pStyle w:val="Normal"/>
        <w:rPr>
          <w:b/>
          <w:b/>
          <w:bCs/>
        </w:rPr>
      </w:pPr>
      <w:r>
        <w:rPr>
          <w:b/>
          <w:bCs/>
        </w:rPr>
      </w:r>
    </w:p>
    <w:p>
      <w:pPr>
        <w:pStyle w:val="Normal"/>
        <w:rPr>
          <w:b/>
          <w:b/>
          <w:bCs/>
          <w:color w:val="ED1C24"/>
        </w:rPr>
      </w:pPr>
      <w:r>
        <w:rPr>
          <w:b/>
          <w:bCs/>
          <w:color w:val="ED1C24"/>
        </w:rPr>
        <w:t>PEO3 – Sustainable Development</w:t>
      </w:r>
    </w:p>
    <w:p>
      <w:pPr>
        <w:pStyle w:val="Normal"/>
        <w:rPr/>
      </w:pPr>
      <w:r>
        <w:rPr/>
        <w:t>Graduates will promote sustainable development at local and international levels.</w:t>
      </w:r>
    </w:p>
    <w:p>
      <w:pPr>
        <w:pStyle w:val="Normal"/>
        <w:rPr/>
      </w:pPr>
      <w:r>
        <w:rPr/>
      </w:r>
    </w:p>
    <w:p>
      <w:pPr>
        <w:pStyle w:val="Heading1"/>
        <w:numPr>
          <w:ilvl w:val="0"/>
          <w:numId w:val="2"/>
        </w:numPr>
        <w:jc w:val="center"/>
        <w:rPr/>
      </w:pPr>
      <w:r>
        <w:rPr/>
      </w:r>
    </w:p>
    <w:p>
      <w:pPr>
        <w:pStyle w:val="Heading1"/>
        <w:numPr>
          <w:ilvl w:val="0"/>
          <w:numId w:val="2"/>
        </w:numPr>
        <w:jc w:val="center"/>
        <w:rPr/>
      </w:pPr>
      <w:r>
        <w:rPr/>
        <w:t>Annex-2: Mapping of PEO-PO</w:t>
      </w:r>
    </w:p>
    <w:p>
      <w:pPr>
        <w:pStyle w:val="Normal"/>
        <w:rPr/>
      </w:pPr>
      <w:r>
        <w:rPr/>
      </w:r>
    </w:p>
    <w:tbl>
      <w:tblPr>
        <w:tblW w:w="997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7375"/>
        <w:gridCol w:w="900"/>
        <w:gridCol w:w="818"/>
        <w:gridCol w:w="878"/>
      </w:tblGrid>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PEO1</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PEO2</w:t>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t>PEO3</w:t>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PO1 - Engineering knowledge: Apply the knowledge of mathematics, science, engineering fundamentals and an engineering specialization to the solution of complex engineering problems.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bookmarkStart w:id="9" w:name="__DdeLink__75_2359413701"/>
            <w:r>
              <w:rPr>
                <w:rFonts w:eastAsia="Liberation Serif" w:cs="Liberation Serif"/>
                <w:b/>
                <w:bCs/>
                <w:sz w:val="56"/>
                <w:szCs w:val="56"/>
              </w:rPr>
              <w:t>√</w:t>
            </w:r>
            <w:bookmarkEnd w:id="9"/>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PO2 - Problem analysis: Identify, formulate, research and analyze complex engineering problems and reach substantiated conclusions using the principles of mathematics, the natural sciences and the engineering sciences.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PO3 - Design/development of solutions: Design solutions for complex engineering problems and design system components or processes that meet the specified needs with appropriate consideration for public health and safety as well as cultural, societal and environmental concerns.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PO4 – Investigation: Conduct investigations of complex problems, considering design of experiments, analysis and interpretation of data and synthesis of information to provide valid conclusions.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PO5 - Modern tool usage: Create, select and apply appropriate techniques, resources and modern engineering and IT tools including prediction and modeling to complex engineering activities with an understanding of the limitations.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PO6 - The engineer and society: Apply reasoning informed by contextual knowledge to assess societal, health, safety, legal and cultural issues and the consequent responsibilities relevant to professional engineering practice.</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PO7 - Environment and sustainability: Understand the impact of professional engineering solutions in societal and environmental contexts and demonstrate the knowledge of, and need for sustainable development.</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eastAsia="Liberation Serif" w:cs="Liberation Serif"/>
                <w:b/>
                <w:b/>
                <w:bCs/>
                <w:sz w:val="56"/>
                <w:szCs w:val="56"/>
              </w:rPr>
            </w:pPr>
            <w:bookmarkStart w:id="10" w:name="__DdeLink__673_2093745981"/>
            <w:r>
              <w:rPr>
                <w:rFonts w:eastAsia="Liberation Serif" w:cs="Liberation Serif"/>
                <w:b/>
                <w:bCs/>
                <w:sz w:val="56"/>
                <w:szCs w:val="56"/>
              </w:rPr>
              <w:t>√</w:t>
            </w:r>
            <w:bookmarkEnd w:id="10"/>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PO8 – Ethics: Apply ethical principles and commit to professional ethics, responsibilities and the norms of engineering practice.</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PO9 - Individual work and teamwork: Function effectively as an individual and as a member or leader of diverse teams as well as in multidisciplinary settings.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PO10 – Communication: Communicate effectively about complex engineering activities with the engineering community and with society at large. Be able to comprehend and write effective reports, design documentation, make effective presentations and give and receive clear instructions.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PO11 - Project management and finance: Demonstrate knowledge and understanding of the engineering and management principles and apply these to one’s own work as a member or a leader of a team to manage projects in multidisciplinary environments.</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r>
        <w:trPr/>
        <w:tc>
          <w:tcPr>
            <w:tcW w:w="7375"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PO12 - Life-long learning: Recognize the need for and have the preparation and ability to engage in independent, life-long learning in the broadest context of technological change.</w:t>
            </w:r>
          </w:p>
        </w:tc>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81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eastAsia="Liberation Serif" w:cs="Liberation Serif"/>
                <w:b/>
                <w:b/>
                <w:bCs/>
                <w:sz w:val="56"/>
                <w:szCs w:val="56"/>
              </w:rPr>
            </w:pPr>
            <w:r>
              <w:rPr>
                <w:rFonts w:eastAsia="Liberation Serif" w:cs="Liberation Serif"/>
                <w:b/>
                <w:bCs/>
                <w:sz w:val="56"/>
                <w:szCs w:val="56"/>
              </w:rPr>
              <w:t>√</w:t>
            </w:r>
          </w:p>
        </w:tc>
        <w:tc>
          <w:tcPr>
            <w:tcW w:w="8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
          </w:p>
        </w:tc>
      </w:tr>
    </w:tbl>
    <w:p>
      <w:pPr>
        <w:pStyle w:val="Normal"/>
        <w:numPr>
          <w:ilvl w:val="0"/>
          <w:numId w:val="0"/>
        </w:numPr>
        <w:suppressAutoHyphens w:val="true"/>
        <w:snapToGrid w:val="false"/>
        <w:outlineLvl w:val="0"/>
        <w:rPr/>
      </w:pPr>
      <w:r>
        <w:rPr/>
      </w:r>
    </w:p>
    <w:p>
      <w:pPr>
        <w:pStyle w:val="Normal"/>
        <w:numPr>
          <w:ilvl w:val="0"/>
          <w:numId w:val="0"/>
        </w:numPr>
        <w:suppressAutoHyphens w:val="true"/>
        <w:snapToGrid w:val="false"/>
        <w:outlineLvl w:val="0"/>
        <w:rPr/>
      </w:pPr>
      <w:r>
        <w:rPr/>
      </w:r>
    </w:p>
    <w:p>
      <w:pPr>
        <w:pStyle w:val="Heading1"/>
        <w:numPr>
          <w:ilvl w:val="0"/>
          <w:numId w:val="2"/>
        </w:numPr>
        <w:suppressAutoHyphens w:val="true"/>
        <w:snapToGrid w:val="false"/>
        <w:jc w:val="center"/>
        <w:rPr/>
      </w:pPr>
      <w:r>
        <w:rPr/>
        <w:t>Annex-3: Blooms Taxonomy *</w:t>
      </w:r>
    </w:p>
    <w:p>
      <w:pPr>
        <w:pStyle w:val="Normal"/>
        <w:numPr>
          <w:ilvl w:val="0"/>
          <w:numId w:val="2"/>
        </w:numPr>
        <w:suppressAutoHyphens w:val="true"/>
        <w:snapToGrid w:val="false"/>
        <w:jc w:val="center"/>
        <w:outlineLvl w:val="0"/>
        <w:rPr/>
      </w:pPr>
      <w:r>
        <w:rPr/>
      </w:r>
    </w:p>
    <w:tbl>
      <w:tblPr>
        <w:tblW w:w="9395" w:type="dxa"/>
        <w:jc w:val="left"/>
        <w:tblInd w:w="528"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805"/>
        <w:gridCol w:w="2250"/>
        <w:gridCol w:w="3245"/>
        <w:gridCol w:w="3094"/>
      </w:tblGrid>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Level</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Cognitive Domain – Revised Version</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Affective Domain</w:t>
            </w:r>
          </w:p>
          <w:p>
            <w:pPr>
              <w:pStyle w:val="TableContents"/>
              <w:numPr>
                <w:ilvl w:val="0"/>
                <w:numId w:val="2"/>
              </w:numPr>
              <w:jc w:val="center"/>
              <w:rPr/>
            </w:pPr>
            <w:r>
              <w:rPr/>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Psychomotor Domain</w:t>
            </w:r>
          </w:p>
          <w:p>
            <w:pPr>
              <w:pStyle w:val="TableContents"/>
              <w:numPr>
                <w:ilvl w:val="0"/>
                <w:numId w:val="2"/>
              </w:numPr>
              <w:jc w:val="center"/>
              <w:rPr/>
            </w:pPr>
            <w:r>
              <w:rPr/>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1</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Remember (1)</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Receiving Phenomena (1)</w:t>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Perception (1)</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2</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Comprehend  (2)</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Responding to Phenomena  (2)</w:t>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Set (2)</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3</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Apply  (3)</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Valuing (3)</w:t>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Guided Response (3)</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4</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Analyse  (4)</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Organizing Values (4)</w:t>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Mechanism (4)</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5</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Evaluate  (5)</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Internalising Values (5)</w:t>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bookmarkStart w:id="11" w:name="__DdeLink__576_3070120133"/>
            <w:r>
              <w:rPr/>
              <w:t>C</w:t>
            </w:r>
            <w:bookmarkEnd w:id="11"/>
            <w:r>
              <w:rPr/>
              <w:t>omplex Overt Response (5)</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t>6</w:t>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highlight w:val="yellow"/>
              </w:rPr>
            </w:pPr>
            <w:r>
              <w:rPr/>
              <w:t>Create  (6)</w:t>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Adaption (6)</w:t>
            </w:r>
          </w:p>
        </w:tc>
      </w:tr>
      <w:tr>
        <w:trPr/>
        <w:tc>
          <w:tcPr>
            <w:tcW w:w="80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r>
          </w:p>
        </w:tc>
        <w:tc>
          <w:tcPr>
            <w:tcW w:w="2250"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r>
          </w:p>
        </w:tc>
        <w:tc>
          <w:tcPr>
            <w:tcW w:w="3245" w:type="dxa"/>
            <w:tcBorders>
              <w:top w:val="single" w:sz="2" w:space="0" w:color="000001"/>
              <w:left w:val="single" w:sz="2" w:space="0" w:color="000001"/>
              <w:bottom w:val="single" w:sz="2" w:space="0" w:color="000001"/>
              <w:insideH w:val="single" w:sz="2" w:space="0" w:color="000001"/>
            </w:tcBorders>
            <w:shd w:fill="auto" w:val="clear"/>
          </w:tcPr>
          <w:p>
            <w:pPr>
              <w:pStyle w:val="TableContents"/>
              <w:numPr>
                <w:ilvl w:val="0"/>
                <w:numId w:val="2"/>
              </w:numPr>
              <w:jc w:val="center"/>
              <w:rPr/>
            </w:pPr>
            <w:r>
              <w:rPr/>
            </w:r>
          </w:p>
        </w:tc>
        <w:tc>
          <w:tcPr>
            <w:tcW w:w="3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numPr>
                <w:ilvl w:val="0"/>
                <w:numId w:val="2"/>
              </w:numPr>
              <w:jc w:val="center"/>
              <w:rPr/>
            </w:pPr>
            <w:r>
              <w:rPr/>
              <w:t>Origination (7)</w:t>
            </w:r>
          </w:p>
        </w:tc>
      </w:tr>
    </w:tbl>
    <w:p>
      <w:pPr>
        <w:pStyle w:val="Normal"/>
        <w:numPr>
          <w:ilvl w:val="0"/>
          <w:numId w:val="2"/>
        </w:numPr>
        <w:suppressAutoHyphens w:val="true"/>
        <w:snapToGrid w:val="false"/>
        <w:jc w:val="center"/>
        <w:outlineLvl w:val="0"/>
        <w:rPr/>
      </w:pPr>
      <w:r>
        <w:rPr/>
      </w:r>
    </w:p>
    <w:p>
      <w:pPr>
        <w:pStyle w:val="Normal"/>
        <w:numPr>
          <w:ilvl w:val="0"/>
          <w:numId w:val="2"/>
        </w:numPr>
        <w:suppressAutoHyphens w:val="true"/>
        <w:snapToGrid w:val="false"/>
        <w:jc w:val="center"/>
        <w:outlineLvl w:val="0"/>
        <w:rPr/>
      </w:pPr>
      <w:r>
        <w:rPr>
          <w:b w:val="false"/>
          <w:bCs w:val="false"/>
        </w:rPr>
        <w:t>*  Based on “REVISED BLOOM’S TAXONOMY INDICATOR v3.31” , available at  http://adept.mmu.edu.my/wp-content/uploads/2018/09/Blooms-Taxonomy-Indicator-v3.31.xls</w:t>
      </w:r>
    </w:p>
    <w:sectPr>
      <w:footerReference w:type="default" r:id="rId3"/>
      <w:type w:val="nextPage"/>
      <w:pgSz w:w="11906" w:h="16838"/>
      <w:pgMar w:left="1134" w:right="1134" w:header="0" w:top="1134" w:footer="1134" w:bottom="167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w:t>
    </w:r>
    <w:r>
      <w:rPr/>
      <w:fldChar w:fldCharType="begin"/>
    </w:r>
    <w:r>
      <w:rPr/>
      <w:instrText> PAGE </w:instrText>
    </w:r>
    <w:r>
      <w:rPr/>
      <w:fldChar w:fldCharType="separate"/>
    </w:r>
    <w:r>
      <w:rPr/>
      <w:t>1</w:t>
    </w:r>
    <w:r>
      <w:rPr/>
      <w:fldChar w:fldCharType="end"/>
    </w:r>
    <w: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Lohit Devanagari"/>
      <w:color w:val="00000A"/>
      <w:kern w:val="2"/>
      <w:sz w:val="24"/>
      <w:szCs w:val="24"/>
      <w:lang w:val="en-US" w:eastAsia="zh-CN" w:bidi="hi-IN"/>
    </w:rPr>
  </w:style>
  <w:style w:type="paragraph" w:styleId="Heading1">
    <w:name w:val="Heading 1"/>
    <w:basedOn w:val="Normal"/>
    <w:next w:val="Normal"/>
    <w:qFormat/>
    <w:pPr>
      <w:keepNext w:val="true"/>
      <w:numPr>
        <w:ilvl w:val="0"/>
        <w:numId w:val="1"/>
      </w:numPr>
      <w:outlineLvl w:val="0"/>
    </w:pPr>
    <w:rPr>
      <w:b/>
      <w:sz w:val="28"/>
      <w:szCs w:val="20"/>
    </w:rPr>
  </w:style>
  <w:style w:type="character" w:styleId="DefaultParagraphFont">
    <w:name w:val="Default Paragraph Font"/>
    <w:qFormat/>
    <w:rPr/>
  </w:style>
  <w:style w:type="character" w:styleId="InternetLink">
    <w:name w:val="Internet Link"/>
    <w:rPr>
      <w:color w:val="000080"/>
      <w:u w:val="single"/>
    </w:rPr>
  </w:style>
  <w:style w:type="character" w:styleId="NumberingSymbols">
    <w:name w:val="Numbering Symbols"/>
    <w:qFormat/>
    <w:rPr>
      <w:b/>
      <w:bCs/>
      <w:color w:val="800000"/>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b/>
      <w:bCs/>
      <w:color w:val="800000"/>
    </w:rPr>
  </w:style>
  <w:style w:type="character" w:styleId="ListLabel2">
    <w:name w:val="ListLabel 2"/>
    <w:qFormat/>
    <w:rPr>
      <w:b/>
      <w:bCs/>
      <w:color w:val="800000"/>
    </w:rPr>
  </w:style>
  <w:style w:type="character" w:styleId="ListLabel3">
    <w:name w:val="ListLabel 3"/>
    <w:qFormat/>
    <w:rPr>
      <w:b/>
      <w:bCs/>
      <w:color w:val="800000"/>
    </w:rPr>
  </w:style>
  <w:style w:type="character" w:styleId="ListLabel4">
    <w:name w:val="ListLabel 4"/>
    <w:qFormat/>
    <w:rPr>
      <w:b/>
      <w:bCs/>
      <w:color w:val="800000"/>
    </w:rPr>
  </w:style>
  <w:style w:type="character" w:styleId="ListLabel5">
    <w:name w:val="ListLabel 5"/>
    <w:qFormat/>
    <w:rPr>
      <w:b/>
      <w:bCs/>
      <w:color w:val="800000"/>
    </w:rPr>
  </w:style>
  <w:style w:type="character" w:styleId="ListLabel6">
    <w:name w:val="ListLabel 6"/>
    <w:qFormat/>
    <w:rPr>
      <w:b/>
      <w:bCs/>
      <w:color w:val="800000"/>
    </w:rPr>
  </w:style>
  <w:style w:type="character" w:styleId="ListLabel7">
    <w:name w:val="ListLabel 7"/>
    <w:qFormat/>
    <w:rPr>
      <w:b/>
      <w:bCs/>
      <w:color w:val="800000"/>
    </w:rPr>
  </w:style>
  <w:style w:type="character" w:styleId="ListLabel8">
    <w:name w:val="ListLabel 8"/>
    <w:qFormat/>
    <w:rPr>
      <w:b/>
      <w:bCs/>
      <w:color w:val="800000"/>
    </w:rPr>
  </w:style>
  <w:style w:type="character" w:styleId="ListLabel9">
    <w:name w:val="ListLabel 9"/>
    <w:qFormat/>
    <w:rPr>
      <w:b/>
      <w:bCs/>
      <w:color w:val="800000"/>
    </w:rPr>
  </w:style>
  <w:style w:type="character" w:styleId="ListLabel10">
    <w:name w:val="ListLabel 10"/>
    <w:qFormat/>
    <w:rPr>
      <w:rFonts w:ascii="Arial" w:hAnsi="Arial"/>
      <w:b/>
      <w:bCs/>
      <w:color w:val="800000"/>
    </w:rPr>
  </w:style>
  <w:style w:type="character" w:styleId="ListLabel11">
    <w:name w:val="ListLabel 11"/>
    <w:qFormat/>
    <w:rPr>
      <w:b/>
      <w:bCs/>
      <w:color w:val="800000"/>
    </w:rPr>
  </w:style>
  <w:style w:type="character" w:styleId="ListLabel12">
    <w:name w:val="ListLabel 12"/>
    <w:qFormat/>
    <w:rPr>
      <w:b/>
      <w:bCs/>
      <w:color w:val="800000"/>
    </w:rPr>
  </w:style>
  <w:style w:type="character" w:styleId="ListLabel13">
    <w:name w:val="ListLabel 13"/>
    <w:qFormat/>
    <w:rPr>
      <w:b/>
      <w:bCs/>
      <w:color w:val="800000"/>
    </w:rPr>
  </w:style>
  <w:style w:type="character" w:styleId="ListLabel14">
    <w:name w:val="ListLabel 14"/>
    <w:qFormat/>
    <w:rPr>
      <w:b/>
      <w:bCs/>
      <w:color w:val="800000"/>
    </w:rPr>
  </w:style>
  <w:style w:type="character" w:styleId="ListLabel15">
    <w:name w:val="ListLabel 15"/>
    <w:qFormat/>
    <w:rPr>
      <w:b/>
      <w:bCs/>
      <w:color w:val="800000"/>
    </w:rPr>
  </w:style>
  <w:style w:type="character" w:styleId="ListLabel16">
    <w:name w:val="ListLabel 16"/>
    <w:qFormat/>
    <w:rPr>
      <w:b/>
      <w:bCs/>
      <w:color w:val="800000"/>
    </w:rPr>
  </w:style>
  <w:style w:type="character" w:styleId="ListLabel17">
    <w:name w:val="ListLabel 17"/>
    <w:qFormat/>
    <w:rPr>
      <w:b/>
      <w:bCs/>
      <w:color w:val="800000"/>
    </w:rPr>
  </w:style>
  <w:style w:type="character" w:styleId="ListLabel18">
    <w:name w:val="ListLabel 18"/>
    <w:qFormat/>
    <w:rPr>
      <w:b/>
      <w:bCs/>
      <w:color w:val="800000"/>
    </w:rPr>
  </w:style>
  <w:style w:type="character" w:styleId="BalloonTextChar">
    <w:name w:val="Balloon Text Char"/>
    <w:basedOn w:val="DefaultParagraphFont"/>
    <w:qFormat/>
    <w:rPr>
      <w:rFonts w:ascii="Tahoma" w:hAnsi="Tahoma" w:cs="Mangal"/>
      <w:color w:val="00000A"/>
      <w:sz w:val="16"/>
      <w:szCs w:val="14"/>
    </w:rPr>
  </w:style>
  <w:style w:type="character" w:styleId="ListLabel19">
    <w:name w:val="ListLabel 19"/>
    <w:qFormat/>
    <w:rPr>
      <w:rFonts w:ascii="Arial" w:hAnsi="Arial" w:cs="OpenSymbol"/>
      <w:b/>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b/>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b/>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b/>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b/>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b/>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b/>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b/>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b/>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Arial" w:hAnsi="Arial" w:cs="OpenSymbol"/>
      <w:b/>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OpenSymbol"/>
      <w:b/>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b/>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Arial" w:hAnsi="Arial" w:cs="OpenSymbol"/>
      <w:b/>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Arial" w:hAnsi="Arial" w:cs="OpenSymbol"/>
      <w:b/>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Arial" w:hAnsi="Arial" w:cs="OpenSymbol"/>
      <w:b/>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Arial" w:hAnsi="Arial" w:cs="OpenSymbol"/>
      <w:b/>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b/>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Arial" w:hAnsi="Arial" w:cs="OpenSymbol"/>
      <w:b/>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Arial" w:hAnsi="Arial" w:cs="OpenSymbol"/>
      <w:b/>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Arial" w:hAnsi="Arial" w:cs="OpenSymbol"/>
      <w:b/>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Arial" w:hAnsi="Arial" w:cs="OpenSymbol"/>
      <w:b/>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Arial" w:hAnsi="Arial" w:cs="OpenSymbol"/>
      <w:b/>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Arial" w:hAnsi="Arial" w:cs="OpenSymbol"/>
      <w:b/>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Arial" w:hAnsi="Arial" w:cs="OpenSymbo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Arial" w:hAnsi="Arial" w:cs="OpenSymbol"/>
      <w:b/>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Arial" w:hAnsi="Arial" w:cs="OpenSymbo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Arial" w:hAnsi="Arial" w:cs="OpenSymbol"/>
      <w:b/>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Arial" w:hAnsi="Arial" w:cs="OpenSymbol"/>
      <w:b/>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Arial" w:hAnsi="Arial" w:cs="OpenSymbol"/>
      <w:b/>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Arial" w:hAnsi="Arial" w:cs="OpenSymbol"/>
      <w:b/>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Arial" w:hAnsi="Arial" w:cs="OpenSymbol"/>
      <w:b/>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Arial" w:hAnsi="Arial" w:cs="OpenSymbol"/>
      <w:b/>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Arial" w:hAnsi="Arial" w:cs="OpenSymbol"/>
      <w:b/>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b/>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Arial" w:hAnsi="Arial" w:cs="OpenSymbol"/>
      <w:b/>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Arial" w:hAnsi="Arial" w:cs="OpenSymbol"/>
      <w:b/>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Arial" w:hAnsi="Arial" w:cs="OpenSymbol"/>
      <w:b/>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Arial" w:hAnsi="Arial" w:cs="OpenSymbol"/>
      <w:b/>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b/>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Arial" w:hAnsi="Arial" w:cs="OpenSymbol"/>
      <w:b/>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Arial" w:hAnsi="Arial" w:cs="OpenSymbol"/>
      <w:b/>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ascii="Arial" w:hAnsi="Arial" w:cs="OpenSymbol"/>
      <w:b/>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Footer">
    <w:name w:val="Footer"/>
    <w:basedOn w:val="Normal"/>
    <w:pPr>
      <w:suppressLineNumbers/>
      <w:tabs>
        <w:tab w:val="center" w:pos="4986" w:leader="none"/>
        <w:tab w:val="right" w:pos="9972" w:leader="none"/>
      </w:tabs>
    </w:pPr>
    <w:rPr/>
  </w:style>
  <w:style w:type="paragraph" w:styleId="BalloonText">
    <w:name w:val="Balloon Text"/>
    <w:basedOn w:val="Normal"/>
    <w:qFormat/>
    <w:pPr/>
    <w:rPr>
      <w:rFonts w:ascii="Tahoma" w:hAnsi="Tahoma" w:cs="Mangal"/>
      <w:sz w:val="16"/>
      <w:szCs w:val="1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666</TotalTime>
  <Application>LibreOffice/6.0.7.3$Linux_X86_64 LibreOffice_project/00m0$Build-3</Application>
  <Pages>6</Pages>
  <Words>703</Words>
  <Characters>4302</Characters>
  <CharactersWithSpaces>4901</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2018-12-13T13:54:00Z</dcterms:created>
  <dc:creator/>
  <dc:description/>
  <dc:language>en-US</dc:language>
  <cp:lastModifiedBy/>
  <dcterms:modified xsi:type="dcterms:W3CDTF">2020-09-21T14:48:09Z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